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C104E">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29</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50</w:t>
      </w:r>
      <w:r>
        <w:rPr>
          <w:rFonts w:hint="eastAsia" w:ascii="Arial" w:hAnsi="Arial" w:eastAsia="宋体" w:cs="Arial"/>
          <w:b/>
          <w:kern w:val="0"/>
          <w:sz w:val="22"/>
          <w:lang w:val="en-US" w:eastAsia="zh-CN"/>
        </w:rPr>
        <w:t>1050</w:t>
      </w:r>
      <w:bookmarkStart w:id="0" w:name="_GoBack"/>
      <w:bookmarkEnd w:id="0"/>
    </w:p>
    <w:p w14:paraId="66A15FEE">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Athens, GR, 17</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-21</w:t>
      </w:r>
      <w:r>
        <w:rPr>
          <w:rFonts w:hint="eastAsia" w:ascii="Arial" w:hAnsi="Arial" w:eastAsia="宋体" w:cs="Arial"/>
          <w:b/>
          <w:bCs/>
          <w:kern w:val="0"/>
          <w:sz w:val="24"/>
          <w:szCs w:val="24"/>
          <w:vertAlign w:val="superscript"/>
        </w:rPr>
        <w:t>st</w:t>
      </w:r>
      <w:r>
        <w:rPr>
          <w:rFonts w:hint="eastAsia" w:ascii="Arial" w:hAnsi="Arial" w:eastAsia="宋体" w:cs="Arial"/>
          <w:b/>
          <w:bCs/>
          <w:kern w:val="0"/>
          <w:sz w:val="24"/>
          <w:szCs w:val="24"/>
        </w:rPr>
        <w:t xml:space="preserve"> February 2025</w:t>
      </w:r>
    </w:p>
    <w:p w14:paraId="42245914">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7A029F">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w:t>
      </w:r>
      <w:r>
        <w:rPr>
          <w:rFonts w:ascii="Arial" w:hAnsi="Arial" w:eastAsia="宋体" w:cs="Arial"/>
          <w:b/>
          <w:bCs/>
          <w:kern w:val="0"/>
          <w:sz w:val="24"/>
          <w:szCs w:val="20"/>
          <w:lang w:val="en-GB"/>
        </w:rPr>
        <w:t>.</w:t>
      </w:r>
      <w:r>
        <w:rPr>
          <w:rFonts w:hint="eastAsia" w:ascii="Arial" w:hAnsi="Arial" w:eastAsia="宋体" w:cs="Arial"/>
          <w:b/>
          <w:bCs/>
          <w:kern w:val="0"/>
          <w:sz w:val="24"/>
          <w:szCs w:val="20"/>
        </w:rPr>
        <w:t>1.4</w:t>
      </w:r>
    </w:p>
    <w:p w14:paraId="4300973C">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US" w:eastAsia="zh-CN"/>
        </w:rPr>
        <w:t>, China Telecom</w:t>
      </w:r>
    </w:p>
    <w:p w14:paraId="5BCF0DA7">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UE side data collection</w:t>
      </w:r>
    </w:p>
    <w:p w14:paraId="2C66CBC5">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w:t>
      </w:r>
    </w:p>
    <w:p w14:paraId="5A833B5E">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A509D12">
      <w:pPr>
        <w:keepNext/>
        <w:keepLines/>
        <w:widowControl/>
        <w:numPr>
          <w:ilvl w:val="0"/>
          <w:numId w:val="5"/>
        </w:numPr>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6FDF4F6C">
      <w:pPr>
        <w:widowControl/>
        <w:spacing w:after="180"/>
        <w:rPr>
          <w:rFonts w:ascii="Arial" w:hAnsi="Arial" w:eastAsia="宋体" w:cs="Arial"/>
          <w:kern w:val="0"/>
          <w:sz w:val="20"/>
          <w:szCs w:val="20"/>
          <w:lang w:val="en-GB" w:eastAsia="en-US"/>
        </w:rPr>
      </w:pPr>
      <w:r>
        <w:rPr>
          <w:rFonts w:hint="eastAsia" w:ascii="Arial" w:hAnsi="Arial" w:cs="Arial"/>
          <w:sz w:val="20"/>
          <w:szCs w:val="20"/>
        </w:rPr>
        <w:t>In RAN#106 meeting, the way forward [1] on UE side data collection is as follows, and a LS [2] is sent to SA, SA2 and SA5 to ask them to study the transfer of data over UP for Solution 2 and 3.</w:t>
      </w:r>
      <w:r>
        <w:rPr>
          <w:rFonts w:ascii="Arial" w:hAnsi="Arial" w:eastAsia="宋体" w:cs="Arial"/>
          <w:kern w:val="0"/>
          <w:sz w:val="20"/>
          <w:szCs w:val="20"/>
          <w:lang w:val="en-GB" w:eastAsia="en-US"/>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69F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B8AAC38">
            <w:pPr>
              <w:spacing w:after="120"/>
              <w:rPr>
                <w:rFonts w:ascii="Arial" w:hAnsi="Arial" w:cs="Arial"/>
                <w:b/>
                <w:bCs/>
                <w:sz w:val="20"/>
                <w:szCs w:val="20"/>
                <w:lang w:val="en-GB" w:eastAsia="en-GB"/>
              </w:rPr>
            </w:pPr>
            <w:r>
              <w:rPr>
                <w:rFonts w:ascii="Arial" w:hAnsi="Arial" w:cs="Arial"/>
                <w:b/>
                <w:bCs/>
                <w:sz w:val="20"/>
                <w:szCs w:val="20"/>
                <w:lang w:val="en-GB" w:eastAsia="en-GB"/>
              </w:rPr>
              <w:t>For SA</w:t>
            </w:r>
          </w:p>
          <w:p w14:paraId="24CF8D51">
            <w:pPr>
              <w:spacing w:after="120"/>
              <w:rPr>
                <w:rFonts w:ascii="Arial" w:hAnsi="Arial" w:cs="Arial"/>
                <w:sz w:val="20"/>
                <w:szCs w:val="20"/>
                <w:lang w:val="en-GB" w:eastAsia="en-GB"/>
              </w:rPr>
            </w:pPr>
            <w:r>
              <w:rPr>
                <w:rFonts w:ascii="Arial" w:hAnsi="Arial" w:cs="Arial"/>
                <w:sz w:val="20"/>
                <w:szCs w:val="20"/>
                <w:lang w:val="en-GB" w:eastAsia="en-GB"/>
              </w:rPr>
              <w:t>From RAN perspective, transfer of data over UP for Solution 2 in SA2 should be studied and provide feedback on fulfilement of visibility and controllability requirements.  Transfer of data over UP for Solution 3 can be studied by SA5</w:t>
            </w:r>
          </w:p>
          <w:p w14:paraId="406CBD16">
            <w:pPr>
              <w:spacing w:after="120"/>
              <w:rPr>
                <w:rFonts w:ascii="Arial" w:hAnsi="Arial" w:cs="Arial"/>
                <w:sz w:val="20"/>
                <w:szCs w:val="20"/>
                <w:lang w:val="en-GB" w:eastAsia="en-GB"/>
              </w:rPr>
            </w:pPr>
            <w:r>
              <w:rPr>
                <w:rFonts w:ascii="Arial" w:hAnsi="Arial" w:cs="Arial"/>
                <w:sz w:val="20"/>
                <w:szCs w:val="20"/>
                <w:lang w:val="en-GB" w:eastAsia="en-GB"/>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0C0D3D9B">
            <w:pPr>
              <w:spacing w:after="120"/>
              <w:rPr>
                <w:rFonts w:ascii="Arial" w:hAnsi="Arial" w:cs="Arial"/>
                <w:b/>
                <w:bCs/>
                <w:sz w:val="20"/>
                <w:szCs w:val="20"/>
                <w:lang w:val="en-GB" w:eastAsia="en-GB"/>
              </w:rPr>
            </w:pPr>
            <w:r>
              <w:rPr>
                <w:rFonts w:ascii="Arial" w:hAnsi="Arial" w:cs="Arial"/>
                <w:b/>
                <w:bCs/>
                <w:sz w:val="20"/>
                <w:szCs w:val="20"/>
                <w:lang w:val="en-GB" w:eastAsia="en-GB"/>
              </w:rPr>
              <w:t>For RAN2</w:t>
            </w:r>
          </w:p>
          <w:p w14:paraId="7120BE29">
            <w:pPr>
              <w:numPr>
                <w:ilvl w:val="0"/>
                <w:numId w:val="6"/>
              </w:numPr>
              <w:spacing w:after="120"/>
              <w:rPr>
                <w:rFonts w:ascii="Arial" w:hAnsi="Arial" w:cs="Arial"/>
                <w:sz w:val="20"/>
                <w:szCs w:val="20"/>
                <w:lang w:val="en-GB" w:eastAsia="en-GB"/>
              </w:rPr>
            </w:pPr>
            <w:r>
              <w:rPr>
                <w:rFonts w:ascii="Arial" w:hAnsi="Arial" w:cs="Arial"/>
                <w:sz w:val="20"/>
                <w:szCs w:val="20"/>
                <w:lang w:val="en-GB" w:eastAsia="en-GB"/>
              </w:rPr>
              <w:t>During Rel-19 RAN2 continues studies on AIML UE sided data collection (excluding 1b)</w:t>
            </w:r>
          </w:p>
          <w:p w14:paraId="294CACE8">
            <w:pPr>
              <w:numPr>
                <w:ilvl w:val="1"/>
                <w:numId w:val="6"/>
              </w:numPr>
              <w:spacing w:after="120"/>
              <w:rPr>
                <w:rFonts w:ascii="Arial" w:hAnsi="Arial" w:cs="Arial"/>
                <w:sz w:val="20"/>
                <w:szCs w:val="20"/>
                <w:lang w:val="en-GB" w:eastAsia="en-GB"/>
              </w:rPr>
            </w:pPr>
            <w:r>
              <w:rPr>
                <w:rFonts w:ascii="Arial" w:hAnsi="Arial" w:cs="Arial"/>
                <w:sz w:val="20"/>
                <w:szCs w:val="20"/>
                <w:lang w:val="en-GB" w:eastAsia="en-GB"/>
              </w:rPr>
              <w:t xml:space="preserve">Study RAN aspects related to data transfer over UP </w:t>
            </w:r>
          </w:p>
          <w:p w14:paraId="436593D7">
            <w:pPr>
              <w:numPr>
                <w:ilvl w:val="1"/>
                <w:numId w:val="6"/>
              </w:numPr>
              <w:spacing w:after="120"/>
              <w:rPr>
                <w:rFonts w:ascii="Arial" w:hAnsi="Arial" w:cs="Arial"/>
                <w:sz w:val="20"/>
                <w:szCs w:val="20"/>
                <w:lang w:val="en-GB" w:eastAsia="en-GB"/>
              </w:rPr>
            </w:pPr>
            <w:r>
              <w:rPr>
                <w:rFonts w:ascii="Arial" w:hAnsi="Arial" w:cs="Arial"/>
                <w:sz w:val="20"/>
                <w:szCs w:val="20"/>
                <w:lang w:val="en-GB" w:eastAsia="en-GB"/>
              </w:rPr>
              <w:t xml:space="preserve">Discuss level of NG-RAN involvement in the control and configuration of UE side data collection. </w:t>
            </w:r>
          </w:p>
          <w:p w14:paraId="1C567F73">
            <w:pPr>
              <w:numPr>
                <w:ilvl w:val="1"/>
                <w:numId w:val="6"/>
              </w:numPr>
              <w:spacing w:after="120"/>
              <w:rPr>
                <w:rFonts w:ascii="Arial" w:hAnsi="Arial" w:cs="Arial"/>
                <w:sz w:val="20"/>
                <w:szCs w:val="20"/>
                <w:lang w:val="en-GB" w:eastAsia="en-GB"/>
              </w:rPr>
            </w:pPr>
            <w:r>
              <w:rPr>
                <w:rFonts w:ascii="Arial" w:hAnsi="Arial" w:cs="Arial"/>
                <w:sz w:val="20"/>
                <w:szCs w:val="20"/>
                <w:lang w:val="en-GB" w:eastAsia="en-GB"/>
              </w:rPr>
              <w:t xml:space="preserve">Discuss NG-RAN involvement in the data transfer of UE side data collection (if any) (including visibility discussion). </w:t>
            </w:r>
          </w:p>
          <w:p w14:paraId="7B26887D">
            <w:pPr>
              <w:numPr>
                <w:ilvl w:val="1"/>
                <w:numId w:val="6"/>
              </w:numPr>
              <w:spacing w:after="120"/>
              <w:rPr>
                <w:rFonts w:ascii="Arial" w:hAnsi="Arial" w:cs="Arial"/>
                <w:sz w:val="20"/>
                <w:szCs w:val="20"/>
                <w:lang w:val="en-GB" w:eastAsia="en-GB"/>
              </w:rPr>
            </w:pPr>
            <w:r>
              <w:rPr>
                <w:rFonts w:ascii="Arial" w:hAnsi="Arial" w:cs="Arial"/>
                <w:sz w:val="20"/>
                <w:szCs w:val="20"/>
                <w:lang w:val="en-GB" w:eastAsia="en-GB"/>
              </w:rPr>
              <w:t xml:space="preserve">Discuss aspects/solutions from RAN perspective that enable the data transfer to CN domain or OAM domain.  </w:t>
            </w:r>
          </w:p>
          <w:p w14:paraId="28C6872B">
            <w:pPr>
              <w:pStyle w:val="24"/>
              <w:numPr>
                <w:ilvl w:val="1"/>
                <w:numId w:val="6"/>
              </w:numPr>
              <w:spacing w:after="120"/>
              <w:ind w:firstLineChars="0"/>
              <w:rPr>
                <w:rFonts w:ascii="Arial" w:hAnsi="Arial" w:cs="Arial"/>
                <w:sz w:val="20"/>
                <w:szCs w:val="20"/>
                <w:lang w:val="en-GB" w:eastAsia="en-GB"/>
              </w:rPr>
            </w:pPr>
            <w:r>
              <w:rPr>
                <w:rFonts w:ascii="Arial" w:hAnsi="Arial" w:cs="Arial"/>
                <w:sz w:val="20"/>
                <w:szCs w:val="20"/>
                <w:lang w:val="en-GB" w:eastAsia="en-GB"/>
              </w:rPr>
              <w:t xml:space="preserve">Discuss on the scalability aspects of CP </w:t>
            </w:r>
          </w:p>
          <w:p w14:paraId="4172ED1C">
            <w:pPr>
              <w:pStyle w:val="24"/>
              <w:numPr>
                <w:ilvl w:val="1"/>
                <w:numId w:val="6"/>
              </w:numPr>
              <w:spacing w:after="120"/>
              <w:ind w:firstLineChars="0"/>
              <w:rPr>
                <w:rFonts w:ascii="Arial" w:hAnsi="Arial" w:cs="Arial"/>
                <w:sz w:val="20"/>
                <w:szCs w:val="20"/>
                <w:lang w:val="en-GB" w:eastAsia="en-GB"/>
              </w:rPr>
            </w:pPr>
            <w:r>
              <w:rPr>
                <w:rFonts w:ascii="Arial" w:hAnsi="Arial" w:cs="Arial"/>
                <w:sz w:val="20"/>
                <w:szCs w:val="20"/>
                <w:lang w:val="en-GB" w:eastAsia="en-GB"/>
              </w:rPr>
              <w:t xml:space="preserve">RAN2 can Liaise with other WGs if/when needed </w:t>
            </w:r>
          </w:p>
          <w:p w14:paraId="623B2215">
            <w:pPr>
              <w:spacing w:after="120"/>
              <w:rPr>
                <w:rFonts w:ascii="Arial" w:hAnsi="Arial" w:cs="Arial"/>
                <w:b/>
                <w:bCs/>
                <w:sz w:val="20"/>
                <w:szCs w:val="20"/>
                <w:lang w:val="en-GB" w:eastAsia="en-GB"/>
              </w:rPr>
            </w:pPr>
            <w:r>
              <w:rPr>
                <w:rFonts w:ascii="Arial" w:hAnsi="Arial" w:cs="Arial"/>
                <w:b/>
                <w:bCs/>
                <w:sz w:val="20"/>
                <w:szCs w:val="20"/>
                <w:lang w:val="en-GB" w:eastAsia="en-GB"/>
              </w:rPr>
              <w:t>General</w:t>
            </w:r>
          </w:p>
          <w:p w14:paraId="35FF0946">
            <w:pPr>
              <w:widowControl/>
              <w:spacing w:after="120"/>
              <w:rPr>
                <w:rFonts w:ascii="Arial" w:hAnsi="Arial" w:eastAsia="宋体" w:cs="Arial"/>
                <w:kern w:val="0"/>
                <w:sz w:val="20"/>
                <w:szCs w:val="20"/>
                <w:lang w:val="en-GB" w:eastAsia="en-US"/>
              </w:rPr>
            </w:pPr>
            <w:r>
              <w:rPr>
                <w:rFonts w:ascii="Arial" w:hAnsi="Arial" w:cs="Arial"/>
                <w:sz w:val="20"/>
                <w:szCs w:val="20"/>
                <w:lang w:val="en-GB" w:eastAsia="en-GB"/>
              </w:rPr>
              <w:t>RAN will make a final decision on way forward taking into account SA inputs when available.  RAN will have a checkpoint in Q2, 2025</w:t>
            </w:r>
          </w:p>
        </w:tc>
      </w:tr>
    </w:tbl>
    <w:p w14:paraId="798F661D">
      <w:pPr>
        <w:widowControl/>
        <w:spacing w:before="120" w:beforeLines="50" w:after="180"/>
        <w:rPr>
          <w:rFonts w:ascii="Arial" w:hAnsi="Arial" w:cs="Arial"/>
          <w:sz w:val="20"/>
          <w:szCs w:val="20"/>
        </w:rPr>
      </w:pPr>
      <w:r>
        <w:rPr>
          <w:rFonts w:hint="eastAsia" w:ascii="Arial" w:hAnsi="Arial" w:cs="Arial"/>
          <w:sz w:val="20"/>
          <w:szCs w:val="20"/>
        </w:rPr>
        <w:t>In this contribution, we will discuss the potential solution excluding 1b as Chairlady</w:t>
      </w:r>
      <w:r>
        <w:rPr>
          <w:rFonts w:ascii="Arial" w:hAnsi="Arial" w:cs="Arial"/>
          <w:sz w:val="20"/>
          <w:szCs w:val="20"/>
        </w:rPr>
        <w:t>’</w:t>
      </w:r>
      <w:r>
        <w:rPr>
          <w:rFonts w:hint="eastAsia" w:ascii="Arial" w:hAnsi="Arial" w:cs="Arial"/>
          <w:sz w:val="20"/>
          <w:szCs w:val="20"/>
        </w:rPr>
        <w:t>s guidance, i.e. we will focus on solution 2 and 3.</w:t>
      </w:r>
    </w:p>
    <w:p w14:paraId="59BE813C">
      <w:pPr>
        <w:widowControl/>
        <w:spacing w:before="120" w:beforeLines="50" w:after="180"/>
        <w:ind w:left="210" w:leftChars="100"/>
        <w:rPr>
          <w:rFonts w:ascii="Arial" w:hAnsi="Arial" w:cs="Arial"/>
          <w:sz w:val="20"/>
          <w:szCs w:val="20"/>
        </w:rPr>
      </w:pPr>
      <w:r>
        <w:rPr>
          <w:rFonts w:hint="eastAsia" w:ascii="Arial" w:hAnsi="Arial" w:cs="Arial"/>
          <w:sz w:val="20"/>
          <w:szCs w:val="20"/>
        </w:rPr>
        <w:t>Solution 2.</w:t>
      </w:r>
      <w:r>
        <w:rPr>
          <w:rFonts w:hint="eastAsia" w:ascii="Arial" w:hAnsi="Arial" w:cs="Arial"/>
          <w:sz w:val="20"/>
          <w:szCs w:val="20"/>
        </w:rPr>
        <w:tab/>
      </w:r>
      <w:r>
        <w:rPr>
          <w:rFonts w:hint="eastAsia" w:ascii="Arial" w:hAnsi="Arial" w:cs="Arial"/>
          <w:sz w:val="20"/>
          <w:szCs w:val="20"/>
        </w:rPr>
        <w:t>UE collects training data and transfers it to Core Network. Core Network transfers the training data to the server for data collection for UE-side model training/OTT server.</w:t>
      </w:r>
    </w:p>
    <w:p w14:paraId="71FE0FC3">
      <w:pPr>
        <w:widowControl/>
        <w:spacing w:before="120" w:beforeLines="50" w:after="180"/>
        <w:ind w:left="210" w:leftChars="100"/>
        <w:rPr>
          <w:rFonts w:ascii="Arial" w:hAnsi="Arial" w:cs="Arial"/>
          <w:sz w:val="20"/>
          <w:szCs w:val="20"/>
        </w:rPr>
      </w:pPr>
      <w:r>
        <w:rPr>
          <w:rFonts w:hint="eastAsia" w:ascii="Arial" w:hAnsi="Arial" w:cs="Arial"/>
          <w:sz w:val="20"/>
          <w:szCs w:val="20"/>
        </w:rPr>
        <w:t>Solution 3.</w:t>
      </w:r>
      <w:r>
        <w:rPr>
          <w:rFonts w:hint="eastAsia" w:ascii="Arial" w:hAnsi="Arial" w:cs="Arial"/>
          <w:sz w:val="20"/>
          <w:szCs w:val="20"/>
        </w:rPr>
        <w:tab/>
      </w:r>
      <w:r>
        <w:rPr>
          <w:rFonts w:hint="eastAsia" w:ascii="Arial" w:hAnsi="Arial" w:cs="Arial"/>
          <w:sz w:val="20"/>
          <w:szCs w:val="20"/>
        </w:rPr>
        <w:t xml:space="preserve">UE collects training data and transfers it to OAM. OAM transfers the training data to the server for data collection for UE-side model training/OTT server. </w:t>
      </w:r>
    </w:p>
    <w:p w14:paraId="1DAA1C61">
      <w:pPr>
        <w:widowControl/>
        <w:spacing w:before="120" w:beforeLines="50" w:after="180"/>
        <w:rPr>
          <w:rFonts w:ascii="Arial" w:hAnsi="Arial" w:cs="Arial"/>
          <w:sz w:val="20"/>
          <w:szCs w:val="20"/>
        </w:rPr>
      </w:pPr>
    </w:p>
    <w:p w14:paraId="2B166718">
      <w:pPr>
        <w:keepNext/>
        <w:keepLines/>
        <w:widowControl/>
        <w:numPr>
          <w:ilvl w:val="0"/>
          <w:numId w:val="7"/>
        </w:numPr>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01F7DF28">
      <w:pPr>
        <w:widowControl/>
        <w:spacing w:after="180"/>
        <w:outlineLvl w:val="1"/>
        <w:rPr>
          <w:rFonts w:ascii="Arial" w:hAnsi="Arial" w:eastAsia="宋体" w:cs="Arial"/>
          <w:kern w:val="0"/>
          <w:sz w:val="28"/>
          <w:szCs w:val="16"/>
        </w:rPr>
      </w:pPr>
      <w:r>
        <w:rPr>
          <w:rFonts w:hint="eastAsia" w:ascii="Arial" w:hAnsi="Arial" w:eastAsia="宋体" w:cs="Arial"/>
          <w:kern w:val="0"/>
          <w:sz w:val="28"/>
          <w:szCs w:val="16"/>
        </w:rPr>
        <w:t>2.1 General</w:t>
      </w:r>
    </w:p>
    <w:p w14:paraId="76F44A4A">
      <w:pPr>
        <w:spacing w:before="120" w:beforeLines="50" w:after="120" w:line="260" w:lineRule="exact"/>
        <w:rPr>
          <w:rFonts w:ascii="Arial" w:hAnsi="Arial" w:cs="Arial"/>
          <w:bCs/>
          <w:sz w:val="20"/>
          <w:szCs w:val="20"/>
        </w:rPr>
      </w:pPr>
      <w:r>
        <w:rPr>
          <w:rFonts w:hint="eastAsia" w:ascii="Arial" w:hAnsi="Arial" w:cs="Arial"/>
          <w:bCs/>
          <w:sz w:val="20"/>
          <w:szCs w:val="20"/>
        </w:rPr>
        <w:t>Firstly, we want to clarify the sub-options of solution 2 and 3 to be further discussed, which is similar to the options of model transfer/delivery. That is, UP-based and CP-based solution should be discussed separately. Furthermore, the analysis of current status and gaps, and potential RAN specification impact for different solutions of model transfer/delivery can be reused.</w:t>
      </w:r>
    </w:p>
    <w:p w14:paraId="775BB509">
      <w:pPr>
        <w:spacing w:before="120" w:beforeLines="50" w:after="120" w:line="260" w:lineRule="exact"/>
        <w:rPr>
          <w:rFonts w:ascii="Arial" w:hAnsi="Arial" w:cs="Arial"/>
          <w:bCs/>
          <w:sz w:val="20"/>
          <w:szCs w:val="20"/>
        </w:rPr>
      </w:pPr>
      <w:r>
        <w:rPr>
          <w:rFonts w:hint="eastAsia" w:ascii="Arial" w:hAnsi="Arial" w:cs="Arial"/>
          <w:bCs/>
          <w:sz w:val="20"/>
          <w:szCs w:val="20"/>
        </w:rPr>
        <w:t>Therefore, the solution 2 and 3 can be split as follows:</w:t>
      </w:r>
    </w:p>
    <w:p w14:paraId="557A6C71">
      <w:pPr>
        <w:spacing w:before="120" w:beforeLines="50" w:after="120" w:line="260" w:lineRule="exact"/>
        <w:rPr>
          <w:rFonts w:ascii="Arial" w:hAnsi="Arial" w:cs="Arial"/>
          <w:bCs/>
          <w:sz w:val="20"/>
          <w:szCs w:val="20"/>
        </w:rPr>
      </w:pPr>
      <w:r>
        <w:rPr>
          <w:rFonts w:hint="eastAsia" w:ascii="Arial" w:hAnsi="Arial" w:cs="Arial"/>
          <w:bCs/>
          <w:sz w:val="20"/>
          <w:szCs w:val="20"/>
        </w:rPr>
        <w:t xml:space="preserve">Solution 2a (CP-based): </w:t>
      </w:r>
      <w:r>
        <w:rPr>
          <w:rFonts w:hint="eastAsia" w:ascii="Arial" w:hAnsi="Arial" w:cs="Arial"/>
          <w:sz w:val="20"/>
          <w:szCs w:val="20"/>
        </w:rPr>
        <w:t>UE collects training data and transfers it to Core Network via CP-based solution. Core Network transfers the training data to the server for data collection for UE-side model training/OTT server.</w:t>
      </w:r>
    </w:p>
    <w:p w14:paraId="1D0C3F55">
      <w:pPr>
        <w:spacing w:before="120" w:beforeLines="50" w:after="120" w:line="260" w:lineRule="exact"/>
        <w:rPr>
          <w:rFonts w:ascii="Arial" w:hAnsi="Arial" w:cs="Arial"/>
          <w:bCs/>
          <w:sz w:val="20"/>
          <w:szCs w:val="20"/>
        </w:rPr>
      </w:pPr>
      <w:r>
        <w:rPr>
          <w:rFonts w:hint="eastAsia" w:ascii="Arial" w:hAnsi="Arial" w:cs="Arial"/>
          <w:bCs/>
          <w:sz w:val="20"/>
          <w:szCs w:val="20"/>
        </w:rPr>
        <w:t xml:space="preserve">Solution 2b (UP-based): </w:t>
      </w:r>
      <w:r>
        <w:rPr>
          <w:rFonts w:hint="eastAsia" w:ascii="Arial" w:hAnsi="Arial" w:cs="Arial"/>
          <w:sz w:val="20"/>
          <w:szCs w:val="20"/>
        </w:rPr>
        <w:t>UE collects training data and transfers it to Core Network via UP-based solution. Core Network transfers the training data to the server for data collection for UE-side model training/OTT server.</w:t>
      </w:r>
    </w:p>
    <w:p w14:paraId="1B6F54B7">
      <w:pPr>
        <w:spacing w:before="120" w:beforeLines="50" w:after="120" w:line="260" w:lineRule="exact"/>
        <w:rPr>
          <w:rFonts w:ascii="Arial" w:hAnsi="Arial" w:cs="Arial"/>
          <w:bCs/>
          <w:sz w:val="20"/>
          <w:szCs w:val="20"/>
        </w:rPr>
      </w:pPr>
      <w:r>
        <w:rPr>
          <w:rFonts w:hint="eastAsia" w:ascii="Arial" w:hAnsi="Arial" w:cs="Arial"/>
          <w:bCs/>
          <w:sz w:val="20"/>
          <w:szCs w:val="20"/>
        </w:rPr>
        <w:t xml:space="preserve">Solution 3a (CP-based): </w:t>
      </w:r>
      <w:r>
        <w:rPr>
          <w:rFonts w:hint="eastAsia" w:ascii="Arial" w:hAnsi="Arial" w:cs="Arial"/>
          <w:sz w:val="20"/>
          <w:szCs w:val="20"/>
        </w:rPr>
        <w:t>UE collects training data and transfers it to OAM via CP-based solution. OAM transfers the training data to the server for data collection for UE-side model training/OTT server.</w:t>
      </w:r>
    </w:p>
    <w:p w14:paraId="75CCF0BE">
      <w:pPr>
        <w:spacing w:before="120" w:beforeLines="50" w:after="120" w:line="260" w:lineRule="exact"/>
        <w:rPr>
          <w:rFonts w:ascii="Arial" w:hAnsi="Arial" w:cs="Arial"/>
          <w:bCs/>
          <w:sz w:val="20"/>
          <w:szCs w:val="20"/>
        </w:rPr>
      </w:pPr>
      <w:r>
        <w:rPr>
          <w:rFonts w:hint="eastAsia" w:ascii="Arial" w:hAnsi="Arial" w:cs="Arial"/>
          <w:bCs/>
          <w:sz w:val="20"/>
          <w:szCs w:val="20"/>
        </w:rPr>
        <w:t xml:space="preserve">Solution 3b (UP-based): </w:t>
      </w:r>
      <w:r>
        <w:rPr>
          <w:rFonts w:hint="eastAsia" w:ascii="Arial" w:hAnsi="Arial" w:cs="Arial"/>
          <w:sz w:val="20"/>
          <w:szCs w:val="20"/>
        </w:rPr>
        <w:t>UE collects training data and transfers it to OAM via UP-based solution. OAM transfers the training data to the server for data collection for UE-side model training/OTT server.</w:t>
      </w:r>
    </w:p>
    <w:p w14:paraId="74BD026F">
      <w:pPr>
        <w:spacing w:before="120" w:beforeLines="50" w:after="120" w:line="260" w:lineRule="exact"/>
        <w:rPr>
          <w:rFonts w:ascii="Arial" w:hAnsi="Arial" w:cs="Arial"/>
          <w:b/>
          <w:sz w:val="20"/>
          <w:szCs w:val="20"/>
        </w:rPr>
      </w:pPr>
      <w:r>
        <w:rPr>
          <w:rFonts w:hint="eastAsia" w:ascii="Arial" w:hAnsi="Arial" w:cs="Arial"/>
          <w:b/>
          <w:sz w:val="20"/>
          <w:szCs w:val="20"/>
        </w:rPr>
        <w:t>Proposal 1: For UE</w:t>
      </w:r>
      <w:r>
        <w:rPr>
          <w:rFonts w:hint="eastAsia" w:ascii="Arial" w:hAnsi="Arial" w:cs="Arial"/>
          <w:b/>
          <w:sz w:val="20"/>
          <w:szCs w:val="20"/>
          <w:lang w:val="en-US" w:eastAsia="zh-CN"/>
        </w:rPr>
        <w:t xml:space="preserve"> </w:t>
      </w:r>
      <w:r>
        <w:rPr>
          <w:rFonts w:hint="eastAsia" w:ascii="Arial" w:hAnsi="Arial" w:cs="Arial"/>
          <w:b/>
          <w:sz w:val="20"/>
          <w:szCs w:val="20"/>
        </w:rPr>
        <w:t>side data collection, solution 2 and 3 can be split to CP-based and UP-based solution separately for further discussion.</w:t>
      </w:r>
    </w:p>
    <w:p w14:paraId="7E8050AB">
      <w:pPr>
        <w:spacing w:before="120" w:beforeLines="50" w:after="120" w:line="260" w:lineRule="exact"/>
        <w:rPr>
          <w:rFonts w:ascii="Arial" w:hAnsi="Arial" w:cs="Arial"/>
          <w:bCs/>
          <w:sz w:val="20"/>
          <w:szCs w:val="20"/>
        </w:rPr>
      </w:pPr>
    </w:p>
    <w:p w14:paraId="1F273CB9">
      <w:pPr>
        <w:widowControl/>
        <w:spacing w:after="180"/>
        <w:outlineLvl w:val="1"/>
        <w:rPr>
          <w:rFonts w:ascii="Arial" w:hAnsi="Arial" w:eastAsia="宋体" w:cs="Arial"/>
          <w:kern w:val="0"/>
          <w:sz w:val="28"/>
          <w:szCs w:val="16"/>
        </w:rPr>
      </w:pPr>
      <w:r>
        <w:rPr>
          <w:rFonts w:hint="eastAsia" w:ascii="Arial" w:hAnsi="Arial" w:eastAsia="宋体" w:cs="Arial"/>
          <w:kern w:val="0"/>
          <w:sz w:val="28"/>
          <w:szCs w:val="16"/>
        </w:rPr>
        <w:t xml:space="preserve">2.2 Discussion on </w:t>
      </w:r>
      <w:r>
        <w:rPr>
          <w:rFonts w:ascii="Arial" w:hAnsi="Arial" w:eastAsia="宋体" w:cs="Arial"/>
          <w:kern w:val="0"/>
          <w:sz w:val="28"/>
          <w:szCs w:val="16"/>
        </w:rPr>
        <w:t>data transfer over</w:t>
      </w:r>
      <w:r>
        <w:rPr>
          <w:rFonts w:hint="eastAsia" w:ascii="Arial" w:hAnsi="Arial" w:eastAsia="宋体" w:cs="Arial"/>
          <w:kern w:val="0"/>
          <w:sz w:val="28"/>
          <w:szCs w:val="16"/>
        </w:rPr>
        <w:t xml:space="preserve"> UP</w:t>
      </w:r>
    </w:p>
    <w:p w14:paraId="433D71A4">
      <w:pPr>
        <w:spacing w:before="120" w:beforeLines="50" w:after="120" w:line="260" w:lineRule="exact"/>
        <w:rPr>
          <w:rFonts w:ascii="Arial" w:hAnsi="Arial" w:cs="Arial"/>
          <w:sz w:val="20"/>
          <w:szCs w:val="20"/>
        </w:rPr>
      </w:pPr>
      <w:r>
        <w:rPr>
          <w:rFonts w:hint="eastAsia" w:ascii="Arial" w:hAnsi="Arial" w:cs="Arial"/>
          <w:bCs/>
          <w:sz w:val="20"/>
          <w:szCs w:val="20"/>
        </w:rPr>
        <w:t>In last RAN plenary, RANP sent a LS [2] to ask SA/SA2/SA5 to study the UP-based solution. And in legacy UP solution, the session is terminated at UE and UPF, so RAN is transparent for user plane data transmission. For the moment, we don</w:t>
      </w:r>
      <w:r>
        <w:rPr>
          <w:rFonts w:ascii="Arial" w:hAnsi="Arial" w:cs="Arial"/>
          <w:bCs/>
          <w:sz w:val="20"/>
          <w:szCs w:val="20"/>
        </w:rPr>
        <w:t>’</w:t>
      </w:r>
      <w:r>
        <w:rPr>
          <w:rFonts w:hint="eastAsia" w:ascii="Arial" w:hAnsi="Arial" w:cs="Arial"/>
          <w:bCs/>
          <w:sz w:val="20"/>
          <w:szCs w:val="20"/>
        </w:rPr>
        <w:t xml:space="preserve">t see the impacts on RAN </w:t>
      </w:r>
      <w:r>
        <w:rPr>
          <w:rFonts w:ascii="Arial" w:hAnsi="Arial" w:cs="Arial"/>
          <w:sz w:val="20"/>
          <w:szCs w:val="20"/>
        </w:rPr>
        <w:t>related to data transfer over UP</w:t>
      </w:r>
      <w:r>
        <w:rPr>
          <w:rFonts w:hint="eastAsia" w:ascii="Arial" w:hAnsi="Arial" w:cs="Arial"/>
          <w:sz w:val="20"/>
          <w:szCs w:val="20"/>
        </w:rPr>
        <w:t xml:space="preserve">. More details can be further discussed after we receive </w:t>
      </w:r>
      <w:r>
        <w:rPr>
          <w:rFonts w:ascii="Arial" w:hAnsi="Arial" w:cs="Arial"/>
          <w:sz w:val="20"/>
          <w:szCs w:val="20"/>
        </w:rPr>
        <w:t>SA inputs</w:t>
      </w:r>
      <w:r>
        <w:rPr>
          <w:rFonts w:hint="eastAsia" w:ascii="Arial" w:hAnsi="Arial" w:cs="Arial"/>
          <w:sz w:val="20"/>
          <w:szCs w:val="20"/>
        </w:rPr>
        <w:t xml:space="preserve"> on UP-based solution.</w:t>
      </w:r>
    </w:p>
    <w:p w14:paraId="1A1C7FE3">
      <w:pPr>
        <w:spacing w:before="120" w:beforeLines="50" w:after="120" w:line="260" w:lineRule="exact"/>
        <w:rPr>
          <w:rFonts w:ascii="Arial" w:hAnsi="Arial" w:cs="Arial"/>
          <w:b/>
          <w:sz w:val="20"/>
          <w:szCs w:val="20"/>
        </w:rPr>
      </w:pPr>
      <w:r>
        <w:rPr>
          <w:rFonts w:hint="eastAsia" w:ascii="Arial" w:hAnsi="Arial" w:cs="Arial"/>
          <w:b/>
          <w:sz w:val="20"/>
          <w:szCs w:val="20"/>
        </w:rPr>
        <w:t>Proposal 2: It is proposed to postpone the discussion of UP-based solution before further inputs are received from SA.</w:t>
      </w:r>
    </w:p>
    <w:p w14:paraId="0A182F18">
      <w:pPr>
        <w:pStyle w:val="9"/>
        <w:rPr>
          <w:rFonts w:ascii="Arial" w:hAnsi="Arial" w:cs="Arial"/>
          <w:bCs/>
          <w:sz w:val="20"/>
          <w:szCs w:val="20"/>
        </w:rPr>
      </w:pPr>
    </w:p>
    <w:p w14:paraId="5EBB7149">
      <w:pPr>
        <w:widowControl/>
        <w:spacing w:after="180"/>
        <w:outlineLvl w:val="1"/>
        <w:rPr>
          <w:rFonts w:ascii="Arial" w:hAnsi="Arial" w:eastAsia="宋体" w:cs="Arial"/>
          <w:kern w:val="0"/>
          <w:sz w:val="28"/>
          <w:szCs w:val="16"/>
        </w:rPr>
      </w:pPr>
      <w:r>
        <w:rPr>
          <w:rFonts w:hint="eastAsia" w:ascii="Arial" w:hAnsi="Arial" w:eastAsia="宋体" w:cs="Arial"/>
          <w:kern w:val="0"/>
          <w:sz w:val="28"/>
          <w:szCs w:val="16"/>
        </w:rPr>
        <w:t>2.3 Discussion on NG-RAN involvement</w:t>
      </w:r>
      <w:r>
        <w:rPr>
          <w:rFonts w:hint="eastAsia" w:ascii="Arial" w:hAnsi="Arial" w:eastAsia="宋体" w:cs="Arial"/>
          <w:kern w:val="0"/>
          <w:sz w:val="28"/>
          <w:szCs w:val="16"/>
          <w:lang w:eastAsia="en-GB"/>
        </w:rPr>
        <w:t xml:space="preserve"> </w:t>
      </w:r>
    </w:p>
    <w:p w14:paraId="7018FB39">
      <w:pPr>
        <w:spacing w:before="120" w:beforeLines="50" w:after="120" w:line="260" w:lineRule="exact"/>
        <w:rPr>
          <w:rFonts w:ascii="Arial" w:hAnsi="Arial" w:cs="Arial"/>
          <w:bCs/>
          <w:sz w:val="20"/>
          <w:szCs w:val="20"/>
        </w:rPr>
      </w:pPr>
      <w:r>
        <w:rPr>
          <w:rFonts w:hint="eastAsia" w:ascii="Arial" w:hAnsi="Arial" w:cs="Arial"/>
          <w:bCs/>
          <w:sz w:val="20"/>
          <w:szCs w:val="20"/>
        </w:rPr>
        <w:t>In last meeting [3], during the discussion on LCM for UE-sided model for beam management use case, RAN2 agreed the following agreements on data collection for UE-side model training: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9DC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9C9CD72">
            <w:pPr>
              <w:spacing w:before="120" w:beforeLines="50" w:after="120" w:line="260" w:lineRule="exact"/>
              <w:rPr>
                <w:rFonts w:ascii="Arial" w:hAnsi="Arial" w:cs="Arial"/>
                <w:bCs/>
                <w:sz w:val="20"/>
                <w:szCs w:val="20"/>
                <w:lang w:val="en-GB" w:eastAsia="en-GB"/>
              </w:rPr>
            </w:pPr>
            <w:r>
              <w:rPr>
                <w:rFonts w:hint="eastAsia" w:ascii="Arial" w:hAnsi="Arial" w:cs="Arial"/>
                <w:bCs/>
                <w:sz w:val="20"/>
                <w:szCs w:val="20"/>
                <w:lang w:val="en-GB" w:eastAsia="en-GB"/>
              </w:rPr>
              <w:t xml:space="preserve">For data collection configuration UE-side model training, the UE can send a request for data collection.   FFS what the request contains.    </w:t>
            </w:r>
          </w:p>
          <w:p w14:paraId="671081F3">
            <w:pPr>
              <w:spacing w:before="120" w:beforeLines="50" w:after="120" w:line="260" w:lineRule="exact"/>
              <w:rPr>
                <w:rFonts w:ascii="Arial" w:hAnsi="Arial" w:cs="Arial"/>
                <w:bCs/>
                <w:sz w:val="20"/>
                <w:szCs w:val="20"/>
                <w:lang w:val="en-GB" w:eastAsia="en-GB"/>
              </w:rPr>
            </w:pPr>
            <w:r>
              <w:rPr>
                <w:rFonts w:hint="eastAsia" w:ascii="Arial" w:hAnsi="Arial" w:cs="Arial"/>
                <w:bCs/>
                <w:sz w:val="20"/>
                <w:szCs w:val="20"/>
                <w:lang w:val="en-GB" w:eastAsia="en-GB"/>
              </w:rPr>
              <w:t xml:space="preserve">The network can provide the data collection configuration (at any point in time), with or without UE request.  </w:t>
            </w:r>
          </w:p>
        </w:tc>
      </w:tr>
    </w:tbl>
    <w:p w14:paraId="2D2B668D">
      <w:pPr>
        <w:spacing w:before="120" w:beforeLines="50" w:after="120" w:line="260" w:lineRule="exact"/>
        <w:rPr>
          <w:rFonts w:ascii="Arial" w:hAnsi="Arial" w:cs="Arial"/>
          <w:bCs/>
          <w:sz w:val="20"/>
          <w:szCs w:val="20"/>
        </w:rPr>
      </w:pPr>
      <w:r>
        <w:rPr>
          <w:rFonts w:hint="eastAsia" w:ascii="Arial" w:hAnsi="Arial" w:cs="Arial"/>
          <w:bCs/>
          <w:sz w:val="20"/>
          <w:szCs w:val="20"/>
        </w:rPr>
        <w:t>Regardless of UE request, the network can provide the data collection configuration for UE-sided model training. In our understanding, the network here refers to NG-RAN, since CSI feedback and beam management are PHY use cases and it is hard for CN to provide the configuration or understand the physical parameters. That is, NG-RAN is involved for data collection configuration for model training.</w:t>
      </w:r>
    </w:p>
    <w:p w14:paraId="12D0E852">
      <w:pPr>
        <w:spacing w:before="120" w:beforeLines="50" w:after="120" w:line="260" w:lineRule="exact"/>
        <w:rPr>
          <w:rFonts w:ascii="Arial" w:hAnsi="Arial" w:cs="Arial"/>
          <w:b/>
          <w:sz w:val="20"/>
          <w:szCs w:val="20"/>
        </w:rPr>
      </w:pPr>
      <w:r>
        <w:rPr>
          <w:rFonts w:hint="eastAsia" w:ascii="Arial" w:hAnsi="Arial" w:cs="Arial"/>
          <w:b/>
          <w:sz w:val="20"/>
          <w:szCs w:val="20"/>
        </w:rPr>
        <w:t>Observation 1: NG-RAN is involved to provide the data collection configuration for UE-sided model training.</w:t>
      </w:r>
    </w:p>
    <w:p w14:paraId="651CCFEC">
      <w:pPr>
        <w:spacing w:before="120" w:beforeLines="50" w:after="120" w:line="260" w:lineRule="exact"/>
        <w:rPr>
          <w:rFonts w:ascii="Arial" w:hAnsi="Arial" w:cs="Arial"/>
          <w:bCs/>
          <w:sz w:val="20"/>
          <w:szCs w:val="20"/>
        </w:rPr>
      </w:pPr>
      <w:r>
        <w:rPr>
          <w:rFonts w:hint="eastAsia" w:ascii="Arial" w:hAnsi="Arial" w:cs="Arial"/>
          <w:bCs/>
          <w:sz w:val="20"/>
          <w:szCs w:val="20"/>
        </w:rPr>
        <w:t>For solution 2, since the data is terminated at CN, the data collection configuration can be initiated by CN. However, as we mentioned above, we don</w:t>
      </w:r>
      <w:r>
        <w:rPr>
          <w:rFonts w:ascii="Arial" w:hAnsi="Arial" w:cs="Arial"/>
          <w:bCs/>
          <w:sz w:val="20"/>
          <w:szCs w:val="20"/>
        </w:rPr>
        <w:t>’</w:t>
      </w:r>
      <w:r>
        <w:rPr>
          <w:rFonts w:hint="eastAsia" w:ascii="Arial" w:hAnsi="Arial" w:cs="Arial"/>
          <w:bCs/>
          <w:sz w:val="20"/>
          <w:szCs w:val="20"/>
        </w:rPr>
        <w:t xml:space="preserve">t think CN can initiate the L1 data collection and send the configuration of physical use cases to RAN.  </w:t>
      </w:r>
    </w:p>
    <w:p w14:paraId="635C49DA">
      <w:pPr>
        <w:spacing w:before="120" w:beforeLines="50" w:after="120" w:line="260" w:lineRule="exact"/>
        <w:rPr>
          <w:rFonts w:ascii="Arial" w:hAnsi="Arial" w:cs="Arial"/>
          <w:sz w:val="20"/>
          <w:szCs w:val="20"/>
        </w:rPr>
      </w:pPr>
      <w:r>
        <w:rPr>
          <w:rFonts w:hint="eastAsia" w:ascii="Arial" w:hAnsi="Arial" w:cs="Arial"/>
          <w:sz w:val="20"/>
          <w:szCs w:val="20"/>
        </w:rPr>
        <w:t xml:space="preserve">For solution 3, as legacy MDT, OAM can initiate the data collection procedure and send the configuration to RAN, and then RAN provide the configuration to the UE. </w:t>
      </w:r>
    </w:p>
    <w:p w14:paraId="5D2F8E3B">
      <w:pPr>
        <w:spacing w:before="120" w:beforeLines="50" w:after="120" w:line="260" w:lineRule="exact"/>
        <w:rPr>
          <w:rFonts w:ascii="Arial" w:hAnsi="Arial" w:cs="Arial"/>
          <w:sz w:val="20"/>
          <w:szCs w:val="20"/>
        </w:rPr>
      </w:pPr>
      <w:r>
        <w:rPr>
          <w:rFonts w:hint="eastAsia" w:ascii="Arial" w:hAnsi="Arial" w:cs="Arial"/>
          <w:sz w:val="20"/>
          <w:szCs w:val="20"/>
        </w:rPr>
        <w:t>Therefore, we think solution 3b (CP-based) is preferred.</w:t>
      </w:r>
    </w:p>
    <w:p w14:paraId="4AF22B9D">
      <w:pPr>
        <w:spacing w:before="120" w:beforeLines="50" w:after="120" w:line="260" w:lineRule="exact"/>
        <w:rPr>
          <w:rFonts w:ascii="Arial" w:hAnsi="Arial" w:cs="Arial"/>
          <w:b/>
          <w:sz w:val="20"/>
          <w:szCs w:val="20"/>
        </w:rPr>
      </w:pPr>
      <w:r>
        <w:rPr>
          <w:rFonts w:hint="eastAsia" w:ascii="Arial" w:hAnsi="Arial" w:cs="Arial"/>
          <w:b/>
          <w:sz w:val="20"/>
          <w:szCs w:val="20"/>
        </w:rPr>
        <w:t xml:space="preserve">Proposal 3: Solution 3b (CP-based) is preferred since OAM can initiate the data collection procedure and </w:t>
      </w:r>
      <w:r>
        <w:rPr>
          <w:rFonts w:hint="eastAsia" w:ascii="Arial" w:hAnsi="Arial" w:cs="Arial"/>
          <w:b/>
          <w:bCs/>
          <w:sz w:val="20"/>
          <w:szCs w:val="20"/>
        </w:rPr>
        <w:t>send the configuration to RAN</w:t>
      </w:r>
      <w:r>
        <w:rPr>
          <w:rFonts w:hint="eastAsia" w:ascii="Arial" w:hAnsi="Arial" w:cs="Arial"/>
          <w:b/>
          <w:sz w:val="20"/>
          <w:szCs w:val="20"/>
        </w:rPr>
        <w:t>.</w:t>
      </w:r>
    </w:p>
    <w:p w14:paraId="68D96127">
      <w:pPr>
        <w:spacing w:before="120" w:beforeLines="50" w:after="120" w:line="260" w:lineRule="exact"/>
        <w:rPr>
          <w:rFonts w:ascii="Arial" w:hAnsi="Arial" w:cs="Arial"/>
          <w:bCs/>
          <w:sz w:val="20"/>
          <w:szCs w:val="20"/>
        </w:rPr>
      </w:pPr>
    </w:p>
    <w:p w14:paraId="429C1D0E">
      <w:pPr>
        <w:widowControl/>
        <w:spacing w:after="180"/>
        <w:outlineLvl w:val="1"/>
        <w:rPr>
          <w:rFonts w:ascii="Arial" w:hAnsi="Arial" w:eastAsia="宋体" w:cs="Arial"/>
          <w:kern w:val="0"/>
          <w:sz w:val="28"/>
          <w:szCs w:val="16"/>
          <w:lang w:eastAsia="en-GB"/>
        </w:rPr>
      </w:pPr>
      <w:r>
        <w:rPr>
          <w:rFonts w:hint="eastAsia" w:ascii="Arial" w:hAnsi="Arial" w:eastAsia="宋体" w:cs="Arial"/>
          <w:kern w:val="0"/>
          <w:sz w:val="28"/>
          <w:szCs w:val="16"/>
        </w:rPr>
        <w:t>2.4 Discussion on scalability of CP</w:t>
      </w:r>
      <w:r>
        <w:rPr>
          <w:rFonts w:hint="eastAsia" w:ascii="Arial" w:hAnsi="Arial" w:eastAsia="宋体" w:cs="Arial"/>
          <w:kern w:val="0"/>
          <w:sz w:val="28"/>
          <w:szCs w:val="16"/>
          <w:lang w:eastAsia="en-GB"/>
        </w:rPr>
        <w:t xml:space="preserve"> </w:t>
      </w:r>
    </w:p>
    <w:p w14:paraId="03678406">
      <w:pPr>
        <w:pStyle w:val="9"/>
        <w:rPr>
          <w:rFonts w:ascii="Arial" w:hAnsi="Arial" w:eastAsia="宋体" w:cs="Arial"/>
          <w:kern w:val="0"/>
          <w:sz w:val="20"/>
          <w:szCs w:val="20"/>
        </w:rPr>
      </w:pPr>
      <w:r>
        <w:rPr>
          <w:rFonts w:hint="eastAsia" w:ascii="Arial" w:hAnsi="Arial" w:eastAsia="宋体" w:cs="Arial"/>
          <w:kern w:val="0"/>
          <w:sz w:val="20"/>
          <w:szCs w:val="20"/>
          <w:lang w:val="en-GB"/>
        </w:rPr>
        <w:t>During</w:t>
      </w:r>
      <w:r>
        <w:rPr>
          <w:rFonts w:hint="eastAsia" w:ascii="Arial" w:hAnsi="Arial" w:eastAsia="宋体" w:cs="Arial"/>
          <w:kern w:val="0"/>
          <w:sz w:val="20"/>
          <w:szCs w:val="20"/>
        </w:rPr>
        <w:t xml:space="preserve"> the study phase, RAN1 reply LS [4] indicated that the typical data size per use case is provided for easy understanding as follows, and it is noted that the data size is per data sample:</w:t>
      </w:r>
    </w:p>
    <w:p w14:paraId="28A13848">
      <w:pPr>
        <w:pStyle w:val="9"/>
        <w:ind w:left="210" w:leftChars="100"/>
        <w:rPr>
          <w:rFonts w:ascii="Arial" w:hAnsi="Arial" w:eastAsia="等线" w:cs="Arial"/>
          <w:sz w:val="20"/>
          <w:szCs w:val="21"/>
        </w:rPr>
      </w:pPr>
      <w:r>
        <w:rPr>
          <w:rFonts w:hint="eastAsia" w:ascii="Arial" w:hAnsi="Arial" w:eastAsia="宋体" w:cs="Arial"/>
          <w:b/>
          <w:bCs/>
          <w:kern w:val="0"/>
          <w:sz w:val="20"/>
          <w:szCs w:val="20"/>
        </w:rPr>
        <w:t xml:space="preserve">- For CSI compression: </w:t>
      </w:r>
      <w:r>
        <w:rPr>
          <w:rFonts w:hint="eastAsia" w:ascii="Arial" w:hAnsi="Arial" w:eastAsia="等线" w:cs="Arial"/>
          <w:sz w:val="20"/>
          <w:szCs w:val="21"/>
        </w:rPr>
        <w:t xml:space="preserve">The data size is about 10s of bits to ~ a few 1000bits even up to ~150Kbits (18.75kbyte) per data sample for different types of data content. RAN1 also notes that the data size is very depending on the configuration. </w:t>
      </w:r>
    </w:p>
    <w:p w14:paraId="4607A752">
      <w:pPr>
        <w:pStyle w:val="9"/>
        <w:ind w:left="210" w:leftChars="100"/>
        <w:rPr>
          <w:rFonts w:ascii="Arial" w:hAnsi="Arial" w:eastAsia="等线" w:cs="Arial"/>
          <w:sz w:val="20"/>
          <w:szCs w:val="21"/>
        </w:rPr>
      </w:pPr>
      <w:r>
        <w:rPr>
          <w:rFonts w:hint="eastAsia" w:ascii="Arial" w:hAnsi="Arial" w:eastAsia="等线" w:cs="Arial"/>
          <w:b/>
          <w:bCs/>
          <w:sz w:val="20"/>
          <w:szCs w:val="21"/>
        </w:rPr>
        <w:t>- For CSI prediction:</w:t>
      </w:r>
      <w:r>
        <w:rPr>
          <w:rFonts w:hint="eastAsia" w:ascii="Arial" w:hAnsi="Arial" w:eastAsia="等线" w:cs="Arial"/>
          <w:sz w:val="20"/>
          <w:szCs w:val="21"/>
        </w:rPr>
        <w:t xml:space="preserve"> Data size depends on the format of Target CSI, and RAN1 has no agreements on this. One example is given that the data size is up to around 1.5Mbits (equal to 192kbyte), assuming float 32 and 10 CSI-RS observation instances as input to predict one future CSI instance. However, during the RAN1 discussion, some companies also think 5 CSI-RS observation instances can be used as input to predict one future CSI instance, where the data size would be up to ~900Kbits (112kbyte).</w:t>
      </w:r>
    </w:p>
    <w:p w14:paraId="7B3F7825">
      <w:pPr>
        <w:pStyle w:val="9"/>
        <w:ind w:left="210" w:leftChars="100"/>
        <w:rPr>
          <w:rFonts w:ascii="Arial" w:hAnsi="Arial" w:eastAsia="等线" w:cs="Arial"/>
          <w:sz w:val="20"/>
          <w:szCs w:val="21"/>
        </w:rPr>
      </w:pPr>
      <w:r>
        <w:rPr>
          <w:rFonts w:hint="eastAsia" w:ascii="Arial" w:hAnsi="Arial" w:eastAsia="等线" w:cs="Arial"/>
          <w:b/>
          <w:bCs/>
          <w:sz w:val="20"/>
          <w:szCs w:val="21"/>
        </w:rPr>
        <w:t xml:space="preserve">- For beam management: </w:t>
      </w:r>
      <w:r>
        <w:rPr>
          <w:rFonts w:hint="eastAsia" w:ascii="Arial" w:hAnsi="Arial" w:eastAsia="等线" w:cs="Arial"/>
          <w:sz w:val="20"/>
          <w:szCs w:val="21"/>
        </w:rPr>
        <w:t>RAN1 provides examples of the typical data size for BM Case 1, it would be up to hundreds of bits (e.g. ~500bits if Set A = 128, 7bits for the strongest beam and 4 bits for the remaining beams).</w:t>
      </w:r>
    </w:p>
    <w:p w14:paraId="22B67776">
      <w:pPr>
        <w:pStyle w:val="9"/>
        <w:ind w:left="210" w:leftChars="100"/>
        <w:rPr>
          <w:rFonts w:ascii="Arial" w:hAnsi="Arial" w:eastAsia="等线" w:cs="Arial"/>
          <w:sz w:val="20"/>
          <w:szCs w:val="21"/>
        </w:rPr>
      </w:pPr>
      <w:r>
        <w:rPr>
          <w:rFonts w:hint="eastAsia" w:ascii="Arial" w:hAnsi="Arial" w:eastAsia="等线" w:cs="Arial"/>
          <w:b/>
          <w:bCs/>
          <w:sz w:val="20"/>
          <w:szCs w:val="21"/>
        </w:rPr>
        <w:t xml:space="preserve">- For positioning: </w:t>
      </w:r>
      <w:r>
        <w:rPr>
          <w:rFonts w:hint="eastAsia" w:ascii="Arial" w:hAnsi="Arial" w:eastAsia="等线" w:cs="Arial"/>
          <w:sz w:val="20"/>
          <w:szCs w:val="21"/>
        </w:rPr>
        <w:t>The data size depends on number of PRS/SRS resources, and the existing spec allows reporting up to 64 PRS/SRS resource per frequency layer. The typical data size per PRS/SRS resource may be 10s bits to 100bits for different data content, for 64 PRS/SRS, the typical data size would be 640bits to 6400bits.</w:t>
      </w:r>
    </w:p>
    <w:p w14:paraId="31550B6C">
      <w:pPr>
        <w:pStyle w:val="9"/>
        <w:rPr>
          <w:rFonts w:ascii="Arial" w:hAnsi="Arial" w:eastAsia="等线" w:cs="Arial"/>
          <w:b/>
          <w:bCs/>
          <w:sz w:val="20"/>
          <w:szCs w:val="21"/>
        </w:rPr>
      </w:pPr>
      <w:r>
        <w:rPr>
          <w:rFonts w:hint="eastAsia" w:ascii="Arial" w:hAnsi="Arial" w:eastAsia="等线" w:cs="Arial"/>
          <w:b/>
          <w:bCs/>
          <w:sz w:val="20"/>
          <w:szCs w:val="21"/>
        </w:rPr>
        <w:t>Observation 2: The typical data size for model training per data sample would be about 10s of bits to a few 1000bits even ~150Kbits for CSI compression, beam management and positioning.</w:t>
      </w:r>
    </w:p>
    <w:p w14:paraId="2396C2CC">
      <w:pPr>
        <w:pStyle w:val="9"/>
        <w:rPr>
          <w:rFonts w:ascii="Arial" w:hAnsi="Arial" w:eastAsia="等线" w:cs="Arial"/>
          <w:b/>
          <w:bCs/>
          <w:sz w:val="20"/>
          <w:szCs w:val="21"/>
        </w:rPr>
      </w:pPr>
      <w:r>
        <w:rPr>
          <w:rFonts w:hint="eastAsia" w:ascii="Arial" w:hAnsi="Arial" w:eastAsia="等线" w:cs="Arial"/>
          <w:b/>
          <w:bCs/>
          <w:sz w:val="20"/>
          <w:szCs w:val="21"/>
        </w:rPr>
        <w:t>Observation 3: The typical data size for model training per data sample would be up to around 1.5Mbits (maybe ~hundreds of Kbits) for CSI prediction.</w:t>
      </w:r>
    </w:p>
    <w:p w14:paraId="74D888FD">
      <w:pPr>
        <w:pStyle w:val="9"/>
        <w:rPr>
          <w:rFonts w:ascii="Arial" w:hAnsi="Arial" w:eastAsia="等线" w:cs="Arial"/>
          <w:sz w:val="20"/>
          <w:szCs w:val="21"/>
        </w:rPr>
      </w:pPr>
      <w:r>
        <w:rPr>
          <w:rFonts w:hint="eastAsia" w:ascii="Arial" w:hAnsi="Arial" w:eastAsia="等线" w:cs="Arial"/>
          <w:sz w:val="20"/>
          <w:szCs w:val="21"/>
        </w:rPr>
        <w:t xml:space="preserve">Among the existing framework, the max payload size per </w:t>
      </w:r>
      <w:r>
        <w:rPr>
          <w:rFonts w:hint="eastAsia" w:ascii="Arial" w:hAnsi="Arial" w:eastAsia="宋体" w:cs="Arial"/>
          <w:kern w:val="0"/>
          <w:sz w:val="20"/>
          <w:szCs w:val="20"/>
        </w:rPr>
        <w:t>RRC signaling</w:t>
      </w:r>
      <w:r>
        <w:rPr>
          <w:rFonts w:hint="eastAsia" w:ascii="Arial" w:hAnsi="Arial" w:eastAsia="等线" w:cs="Arial"/>
          <w:sz w:val="20"/>
          <w:szCs w:val="21"/>
        </w:rPr>
        <w:t xml:space="preserve"> is </w:t>
      </w:r>
      <w:r>
        <w:rPr>
          <w:rFonts w:hint="eastAsia" w:ascii="Arial" w:hAnsi="Arial" w:eastAsia="宋体" w:cs="Arial"/>
          <w:kern w:val="0"/>
          <w:sz w:val="20"/>
          <w:szCs w:val="20"/>
        </w:rPr>
        <w:t>up to 9k</w:t>
      </w:r>
      <w:r>
        <w:rPr>
          <w:rFonts w:hint="eastAsia" w:ascii="Arial" w:hAnsi="Arial" w:eastAsia="宋体" w:cs="Arial"/>
          <w:kern w:val="0"/>
          <w:sz w:val="20"/>
          <w:szCs w:val="20"/>
          <w:lang w:val="en-US" w:eastAsia="zh-CN"/>
        </w:rPr>
        <w:t>b</w:t>
      </w:r>
      <w:r>
        <w:rPr>
          <w:rFonts w:hint="eastAsia" w:ascii="Arial" w:hAnsi="Arial" w:eastAsia="宋体" w:cs="Arial"/>
          <w:kern w:val="0"/>
          <w:sz w:val="20"/>
          <w:szCs w:val="20"/>
        </w:rPr>
        <w:t>yte</w:t>
      </w:r>
      <w:r>
        <w:rPr>
          <w:rFonts w:hint="eastAsia" w:ascii="Arial" w:hAnsi="Arial" w:eastAsia="等线" w:cs="Arial"/>
          <w:sz w:val="20"/>
          <w:szCs w:val="21"/>
        </w:rPr>
        <w:t>, and max UL payload size is up to 144kByte considering RRC segmentation (i.e. up to</w:t>
      </w:r>
      <w:r>
        <w:rPr>
          <w:rFonts w:hint="eastAsia" w:ascii="Arial" w:hAnsi="Arial" w:eastAsia="等线" w:cs="Arial"/>
          <w:sz w:val="20"/>
          <w:szCs w:val="21"/>
          <w:lang w:val="en-US" w:eastAsia="zh-CN"/>
        </w:rPr>
        <w:t xml:space="preserve"> </w:t>
      </w:r>
      <w:r>
        <w:rPr>
          <w:rFonts w:hint="eastAsia" w:ascii="Arial" w:hAnsi="Arial" w:eastAsia="等线" w:cs="Arial"/>
          <w:sz w:val="20"/>
          <w:szCs w:val="21"/>
        </w:rPr>
        <w:t xml:space="preserve">16 segmentation for UL). And for L1 measurement, the payload size is &lt;1706bit in PUCCH and &lt;3840bit in PUSCH. At first glance, the existing framework can support the data collection for model training per data sample except CSI prediction.  </w:t>
      </w:r>
    </w:p>
    <w:p w14:paraId="61F8580C">
      <w:pPr>
        <w:pStyle w:val="9"/>
        <w:rPr>
          <w:rFonts w:ascii="Arial" w:hAnsi="Arial" w:eastAsia="等线" w:cs="Arial"/>
          <w:b/>
          <w:bCs/>
          <w:sz w:val="20"/>
          <w:szCs w:val="21"/>
        </w:rPr>
      </w:pPr>
      <w:r>
        <w:rPr>
          <w:rFonts w:hint="eastAsia" w:ascii="Arial" w:hAnsi="Arial" w:eastAsia="等线" w:cs="Arial"/>
          <w:b/>
          <w:bCs/>
          <w:sz w:val="20"/>
          <w:szCs w:val="21"/>
        </w:rPr>
        <w:t xml:space="preserve">Observation 4: The existing framework (max payload size &lt;9kbyte for RRC signaling) can support the data size requirements per data sample for model training for CSI compression, BM and positioning. </w:t>
      </w:r>
    </w:p>
    <w:p w14:paraId="092F5BE1">
      <w:pPr>
        <w:pStyle w:val="9"/>
        <w:rPr>
          <w:rFonts w:ascii="Arial" w:hAnsi="Arial" w:eastAsia="等线" w:cs="Arial"/>
          <w:sz w:val="20"/>
          <w:szCs w:val="21"/>
        </w:rPr>
      </w:pPr>
      <w:r>
        <w:rPr>
          <w:rFonts w:hint="eastAsia" w:ascii="Arial" w:hAnsi="Arial" w:eastAsia="等线" w:cs="Arial"/>
          <w:sz w:val="20"/>
          <w:szCs w:val="21"/>
        </w:rPr>
        <w:t xml:space="preserve">In our understanding, for CSI prediction or multiple samples for each use case, the requirements on data size can be satisfied if the number of RRC segmentation is extended. </w:t>
      </w:r>
    </w:p>
    <w:p w14:paraId="3037B67B">
      <w:pPr>
        <w:pStyle w:val="9"/>
        <w:rPr>
          <w:rFonts w:ascii="Arial" w:hAnsi="Arial" w:eastAsia="等线" w:cs="Arial"/>
          <w:sz w:val="20"/>
          <w:szCs w:val="21"/>
        </w:rPr>
      </w:pPr>
      <w:r>
        <w:rPr>
          <w:rFonts w:hint="eastAsia" w:ascii="Arial" w:hAnsi="Arial" w:eastAsia="等线" w:cs="Arial"/>
          <w:sz w:val="20"/>
          <w:szCs w:val="21"/>
        </w:rPr>
        <w:t xml:space="preserve">On the other hand, RAN1 expects that NW-side shares model parameters and/or dataset to the UE or UE-side via standardized signaling (i.e. over-the-air or other approaches) in LS [5]. If the number of RRC segmentation is extended, the RRC signaling can also be used for dataset or model parameters sharing. </w:t>
      </w:r>
    </w:p>
    <w:p w14:paraId="461841A5">
      <w:pPr>
        <w:pStyle w:val="9"/>
        <w:rPr>
          <w:rFonts w:ascii="Arial" w:hAnsi="Arial" w:eastAsia="等线" w:cs="Arial"/>
          <w:b/>
          <w:bCs/>
          <w:sz w:val="20"/>
          <w:szCs w:val="21"/>
        </w:rPr>
      </w:pPr>
      <w:r>
        <w:rPr>
          <w:rFonts w:hint="eastAsia" w:ascii="Arial" w:hAnsi="Arial" w:eastAsia="等线" w:cs="Arial"/>
          <w:b/>
          <w:bCs/>
          <w:sz w:val="20"/>
          <w:szCs w:val="21"/>
        </w:rPr>
        <w:t>Observation 5: If the number of RRC segmentation is extended, the data size requirements on CSI prediction or multiple samples for each use case will be satisfied, and the extended RRC signaling can also be used for dataset or model parameters sharing.</w:t>
      </w:r>
    </w:p>
    <w:p w14:paraId="34696B70">
      <w:pPr>
        <w:pStyle w:val="9"/>
        <w:rPr>
          <w:rFonts w:ascii="Arial" w:hAnsi="Arial" w:eastAsia="等线" w:cs="Arial"/>
          <w:sz w:val="20"/>
          <w:szCs w:val="21"/>
        </w:rPr>
      </w:pPr>
      <w:r>
        <w:rPr>
          <w:rFonts w:hint="eastAsia" w:ascii="Arial" w:hAnsi="Arial" w:eastAsia="等线" w:cs="Arial"/>
          <w:sz w:val="20"/>
          <w:szCs w:val="21"/>
        </w:rPr>
        <w:t xml:space="preserve">Based on the above analysis, we prefer to extend the </w:t>
      </w:r>
      <w:r>
        <w:rPr>
          <w:rFonts w:hint="eastAsia" w:ascii="Arial" w:hAnsi="Arial" w:eastAsia="宋体" w:cs="Arial"/>
          <w:b w:val="0"/>
          <w:bCs w:val="0"/>
          <w:kern w:val="0"/>
          <w:sz w:val="20"/>
          <w:szCs w:val="20"/>
        </w:rPr>
        <w:t>maximum number of</w:t>
      </w:r>
      <w:r>
        <w:rPr>
          <w:rFonts w:hint="eastAsia" w:ascii="Arial" w:hAnsi="Arial" w:eastAsia="等线" w:cs="Arial"/>
          <w:sz w:val="20"/>
          <w:szCs w:val="21"/>
        </w:rPr>
        <w:t xml:space="preserve"> RRC segmentations to support the data collection for model training, dataset and model parameters sharing.</w:t>
      </w:r>
    </w:p>
    <w:p w14:paraId="7A2B3739">
      <w:pPr>
        <w:pStyle w:val="9"/>
        <w:rPr>
          <w:rFonts w:ascii="Arial" w:hAnsi="Arial" w:eastAsia="宋体" w:cs="Arial"/>
          <w:b/>
          <w:bCs/>
          <w:kern w:val="0"/>
          <w:sz w:val="20"/>
          <w:szCs w:val="20"/>
        </w:rPr>
      </w:pPr>
      <w:r>
        <w:rPr>
          <w:rFonts w:hint="eastAsia" w:ascii="Arial" w:hAnsi="Arial" w:eastAsia="宋体" w:cs="Arial"/>
          <w:b/>
          <w:bCs/>
          <w:kern w:val="0"/>
          <w:sz w:val="20"/>
          <w:szCs w:val="20"/>
        </w:rPr>
        <w:t>Proposal 4: It is proposed to extend the maximum number of RRC segmentations to support the data collection for model training, dataset and model parameters sharing.</w:t>
      </w:r>
    </w:p>
    <w:p w14:paraId="0AAE7B6E">
      <w:pPr>
        <w:spacing w:before="120" w:beforeLines="50" w:after="120" w:line="260" w:lineRule="exact"/>
        <w:rPr>
          <w:rFonts w:ascii="Arial" w:hAnsi="Arial" w:cs="Arial"/>
          <w:b/>
          <w:sz w:val="20"/>
          <w:szCs w:val="20"/>
        </w:rPr>
      </w:pPr>
    </w:p>
    <w:p w14:paraId="439C252F">
      <w:pPr>
        <w:keepNext/>
        <w:keepLines/>
        <w:widowControl/>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453DD376">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UE side data collection</w:t>
      </w:r>
      <w:r>
        <w:rPr>
          <w:rFonts w:ascii="Arial" w:hAnsi="Arial" w:eastAsia="宋体" w:cs="Arial"/>
          <w:kern w:val="0"/>
          <w:sz w:val="20"/>
          <w:szCs w:val="20"/>
          <w:lang w:val="en-GB" w:eastAsia="en-US"/>
        </w:rPr>
        <w:t>.</w:t>
      </w:r>
    </w:p>
    <w:p w14:paraId="32AB77C7">
      <w:pPr>
        <w:spacing w:before="120" w:beforeLines="50" w:after="120" w:line="260" w:lineRule="exact"/>
        <w:rPr>
          <w:rFonts w:ascii="Arial" w:hAnsi="Arial" w:cs="Arial"/>
          <w:b/>
          <w:sz w:val="20"/>
          <w:szCs w:val="20"/>
        </w:rPr>
      </w:pPr>
      <w:r>
        <w:rPr>
          <w:rFonts w:hint="eastAsia" w:ascii="Arial" w:hAnsi="Arial" w:cs="Arial"/>
          <w:b/>
          <w:sz w:val="20"/>
          <w:szCs w:val="20"/>
        </w:rPr>
        <w:t>Proposal 1: For UE</w:t>
      </w:r>
      <w:r>
        <w:rPr>
          <w:rFonts w:hint="eastAsia" w:ascii="Arial" w:hAnsi="Arial" w:cs="Arial"/>
          <w:b/>
          <w:sz w:val="20"/>
          <w:szCs w:val="20"/>
          <w:lang w:val="en-US" w:eastAsia="zh-CN"/>
        </w:rPr>
        <w:t xml:space="preserve"> </w:t>
      </w:r>
      <w:r>
        <w:rPr>
          <w:rFonts w:hint="eastAsia" w:ascii="Arial" w:hAnsi="Arial" w:cs="Arial"/>
          <w:b/>
          <w:sz w:val="20"/>
          <w:szCs w:val="20"/>
        </w:rPr>
        <w:t>side data collection, solution 2 and 3 can be split to CP-based and UP-based solution separately for further discussion.</w:t>
      </w:r>
    </w:p>
    <w:p w14:paraId="3A457A03">
      <w:pPr>
        <w:spacing w:before="120" w:beforeLines="50" w:after="120" w:line="260" w:lineRule="exact"/>
        <w:rPr>
          <w:rFonts w:ascii="Arial" w:hAnsi="Arial" w:cs="Arial"/>
          <w:b/>
          <w:sz w:val="20"/>
          <w:szCs w:val="20"/>
        </w:rPr>
      </w:pPr>
      <w:r>
        <w:rPr>
          <w:rFonts w:hint="eastAsia" w:ascii="Arial" w:hAnsi="Arial" w:cs="Arial"/>
          <w:b/>
          <w:sz w:val="20"/>
          <w:szCs w:val="20"/>
        </w:rPr>
        <w:t>Proposal 2: It is proposed to postpone the discussion of UP-based solution before further inputs are received from SA.</w:t>
      </w:r>
    </w:p>
    <w:p w14:paraId="7B9C9296">
      <w:pPr>
        <w:spacing w:before="120" w:beforeLines="50" w:after="120" w:line="260" w:lineRule="exact"/>
        <w:rPr>
          <w:rFonts w:ascii="Arial" w:hAnsi="Arial" w:cs="Arial"/>
          <w:b/>
          <w:sz w:val="20"/>
          <w:szCs w:val="20"/>
        </w:rPr>
      </w:pPr>
      <w:r>
        <w:rPr>
          <w:rFonts w:hint="eastAsia" w:ascii="Arial" w:hAnsi="Arial" w:cs="Arial"/>
          <w:b/>
          <w:sz w:val="20"/>
          <w:szCs w:val="20"/>
        </w:rPr>
        <w:t>Observation 1: NG-RAN is involved to provide the data collection configuration for UE-sided model training.</w:t>
      </w:r>
    </w:p>
    <w:p w14:paraId="7C62E52E">
      <w:pPr>
        <w:spacing w:before="120" w:beforeLines="50" w:after="120" w:line="260" w:lineRule="exact"/>
        <w:rPr>
          <w:rFonts w:ascii="Arial" w:hAnsi="Arial" w:cs="Arial"/>
          <w:b/>
          <w:sz w:val="20"/>
          <w:szCs w:val="20"/>
        </w:rPr>
      </w:pPr>
      <w:r>
        <w:rPr>
          <w:rFonts w:hint="eastAsia" w:ascii="Arial" w:hAnsi="Arial" w:cs="Arial"/>
          <w:b/>
          <w:sz w:val="20"/>
          <w:szCs w:val="20"/>
        </w:rPr>
        <w:t xml:space="preserve">Proposal 3: Solution 3 (CP-based) is preferred since OAM can initiate the data collection procedure and </w:t>
      </w:r>
      <w:r>
        <w:rPr>
          <w:rFonts w:hint="eastAsia" w:ascii="Arial" w:hAnsi="Arial" w:cs="Arial"/>
          <w:b/>
          <w:bCs/>
          <w:sz w:val="20"/>
          <w:szCs w:val="20"/>
        </w:rPr>
        <w:t>send the configuration to RAN</w:t>
      </w:r>
      <w:r>
        <w:rPr>
          <w:rFonts w:hint="eastAsia" w:ascii="Arial" w:hAnsi="Arial" w:cs="Arial"/>
          <w:b/>
          <w:sz w:val="20"/>
          <w:szCs w:val="20"/>
        </w:rPr>
        <w:t>.</w:t>
      </w:r>
    </w:p>
    <w:p w14:paraId="4993921C">
      <w:pPr>
        <w:pStyle w:val="9"/>
        <w:rPr>
          <w:rFonts w:ascii="Arial" w:hAnsi="Arial" w:eastAsia="等线" w:cs="Arial"/>
          <w:b/>
          <w:bCs/>
          <w:sz w:val="20"/>
          <w:szCs w:val="21"/>
        </w:rPr>
      </w:pPr>
      <w:r>
        <w:rPr>
          <w:rFonts w:hint="eastAsia" w:ascii="Arial" w:hAnsi="Arial" w:eastAsia="等线" w:cs="Arial"/>
          <w:b/>
          <w:bCs/>
          <w:sz w:val="20"/>
          <w:szCs w:val="21"/>
        </w:rPr>
        <w:t>Observation 2: The typical data size for model training per data sample would be about 10s of bits to a few 1000bits even ~150Kbits for CSI compression, beam management and positioning.</w:t>
      </w:r>
    </w:p>
    <w:p w14:paraId="3032BB4D">
      <w:pPr>
        <w:pStyle w:val="9"/>
        <w:rPr>
          <w:rFonts w:ascii="Arial" w:hAnsi="Arial" w:eastAsia="等线" w:cs="Arial"/>
          <w:b/>
          <w:bCs/>
          <w:sz w:val="20"/>
          <w:szCs w:val="21"/>
        </w:rPr>
      </w:pPr>
      <w:r>
        <w:rPr>
          <w:rFonts w:hint="eastAsia" w:ascii="Arial" w:hAnsi="Arial" w:eastAsia="等线" w:cs="Arial"/>
          <w:b/>
          <w:bCs/>
          <w:sz w:val="20"/>
          <w:szCs w:val="21"/>
        </w:rPr>
        <w:t>Observation 3: The typical data size for model training per data sample would be up to around 1.5Mbits (maybe ~hundreds of Kbits) for CSI prediction.</w:t>
      </w:r>
    </w:p>
    <w:p w14:paraId="4281DA4B">
      <w:pPr>
        <w:pStyle w:val="9"/>
        <w:rPr>
          <w:rFonts w:ascii="Arial" w:hAnsi="Arial" w:eastAsia="等线" w:cs="Arial"/>
          <w:b/>
          <w:bCs/>
          <w:sz w:val="20"/>
          <w:szCs w:val="21"/>
        </w:rPr>
      </w:pPr>
      <w:r>
        <w:rPr>
          <w:rFonts w:hint="eastAsia" w:ascii="Arial" w:hAnsi="Arial" w:eastAsia="等线" w:cs="Arial"/>
          <w:b/>
          <w:bCs/>
          <w:sz w:val="20"/>
          <w:szCs w:val="21"/>
        </w:rPr>
        <w:t xml:space="preserve">Observation 4: The existing framework (max payload size &lt;9kbyte for RRC signaling) can support the data size requirements per data sample for model training for CSI compression, BM and positioning. </w:t>
      </w:r>
    </w:p>
    <w:p w14:paraId="1073BA32">
      <w:pPr>
        <w:pStyle w:val="9"/>
        <w:rPr>
          <w:rFonts w:ascii="Arial" w:hAnsi="Arial" w:eastAsia="等线" w:cs="Arial"/>
          <w:b/>
          <w:bCs/>
          <w:sz w:val="20"/>
          <w:szCs w:val="21"/>
        </w:rPr>
      </w:pPr>
      <w:r>
        <w:rPr>
          <w:rFonts w:hint="eastAsia" w:ascii="Arial" w:hAnsi="Arial" w:eastAsia="等线" w:cs="Arial"/>
          <w:b/>
          <w:bCs/>
          <w:sz w:val="20"/>
          <w:szCs w:val="21"/>
        </w:rPr>
        <w:t>Observation 5: If the number of RRC segmentation is extended, the data size requirements on CSI prediction or multiple samples for each use case will be satisfied, and the extended RRC signaling can also be used for dataset or model parameters sharing.</w:t>
      </w:r>
    </w:p>
    <w:p w14:paraId="7DE751A1">
      <w:pPr>
        <w:pStyle w:val="9"/>
        <w:rPr>
          <w:rFonts w:ascii="Arial" w:hAnsi="Arial" w:eastAsia="宋体" w:cs="Arial"/>
          <w:b/>
          <w:bCs/>
          <w:kern w:val="0"/>
          <w:sz w:val="20"/>
          <w:szCs w:val="20"/>
        </w:rPr>
      </w:pPr>
      <w:r>
        <w:rPr>
          <w:rFonts w:hint="eastAsia" w:ascii="Arial" w:hAnsi="Arial" w:eastAsia="宋体" w:cs="Arial"/>
          <w:b/>
          <w:bCs/>
          <w:kern w:val="0"/>
          <w:sz w:val="20"/>
          <w:szCs w:val="20"/>
        </w:rPr>
        <w:t>Proposal 4: It is proposed to extend the maximum number of</w:t>
      </w:r>
      <w:r>
        <w:rPr>
          <w:rFonts w:hint="eastAsia" w:ascii="Arial" w:hAnsi="Arial" w:eastAsia="宋体" w:cs="Arial"/>
          <w:b/>
          <w:bCs/>
          <w:kern w:val="0"/>
          <w:sz w:val="20"/>
          <w:szCs w:val="20"/>
          <w:lang w:val="en-US" w:eastAsia="zh-CN"/>
        </w:rPr>
        <w:t xml:space="preserve"> </w:t>
      </w:r>
      <w:r>
        <w:rPr>
          <w:rFonts w:hint="eastAsia" w:ascii="Arial" w:hAnsi="Arial" w:eastAsia="宋体" w:cs="Arial"/>
          <w:b/>
          <w:bCs/>
          <w:kern w:val="0"/>
          <w:sz w:val="20"/>
          <w:szCs w:val="20"/>
        </w:rPr>
        <w:t>RRC segmentation</w:t>
      </w:r>
      <w:r>
        <w:rPr>
          <w:rFonts w:hint="eastAsia" w:ascii="Arial" w:hAnsi="Arial" w:eastAsia="宋体" w:cs="Arial"/>
          <w:b/>
          <w:bCs/>
          <w:kern w:val="0"/>
          <w:sz w:val="20"/>
          <w:szCs w:val="20"/>
          <w:lang w:val="en-US" w:eastAsia="zh-CN"/>
        </w:rPr>
        <w:t>s</w:t>
      </w:r>
      <w:r>
        <w:rPr>
          <w:rFonts w:hint="eastAsia" w:ascii="Arial" w:hAnsi="Arial" w:eastAsia="宋体" w:cs="Arial"/>
          <w:b/>
          <w:bCs/>
          <w:kern w:val="0"/>
          <w:sz w:val="20"/>
          <w:szCs w:val="20"/>
        </w:rPr>
        <w:t xml:space="preserve"> to support the data collection for model training, dataset and model parameters sharing.</w:t>
      </w:r>
    </w:p>
    <w:p w14:paraId="75561BEC">
      <w:pPr>
        <w:spacing w:before="120" w:beforeLines="50" w:after="120" w:line="260" w:lineRule="exact"/>
        <w:rPr>
          <w:rFonts w:ascii="Arial" w:hAnsi="Arial" w:eastAsia="宋体" w:cs="Arial"/>
          <w:b/>
          <w:bCs/>
          <w:kern w:val="0"/>
          <w:sz w:val="20"/>
          <w:szCs w:val="20"/>
          <w:lang w:val="en-GB"/>
        </w:rPr>
      </w:pPr>
    </w:p>
    <w:p w14:paraId="5116B758">
      <w:pPr>
        <w:keepNext/>
        <w:keepLines/>
        <w:widowControl/>
        <w:pBdr>
          <w:top w:val="single" w:color="auto" w:sz="12" w:space="3"/>
        </w:pBdr>
        <w:spacing w:before="12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2DA8D15">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RP-243307</w:t>
      </w:r>
      <w:r>
        <w:rPr>
          <w:rFonts w:hint="eastAsia" w:ascii="Arial" w:hAnsi="Arial" w:eastAsia="宋体" w:cs="Arial"/>
          <w:kern w:val="0"/>
          <w:sz w:val="20"/>
          <w:szCs w:val="20"/>
        </w:rPr>
        <w:t xml:space="preserve"> Way forward on AIML UE sided data collection</w:t>
      </w:r>
    </w:p>
    <w:p w14:paraId="582DE333">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RP-243316 LS on AI/ML UE sided data collection</w:t>
      </w:r>
    </w:p>
    <w:p w14:paraId="7D0617B1">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Draft_RAN2_128_Meeting_Report_v1</w:t>
      </w:r>
    </w:p>
    <w:p w14:paraId="56A2ED83">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R1-2310681 Reply LS on Data Collection Requirements and Assumptions</w:t>
      </w:r>
    </w:p>
    <w:p w14:paraId="19B0F78B">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R1-2410922 LS on signalling feasibility of dataset and parameter sharing</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597332"/>
    <w:multiLevelType w:val="multilevel"/>
    <w:tmpl w:val="43597332"/>
    <w:lvl w:ilvl="0" w:tentative="0">
      <w:start w:val="0"/>
      <w:numFmt w:val="bullet"/>
      <w:lvlText w:val="-"/>
      <w:lvlJc w:val="left"/>
      <w:pPr>
        <w:ind w:left="360" w:hanging="360"/>
      </w:pPr>
      <w:rPr>
        <w:rFonts w:hint="default" w:ascii="Aptos" w:hAnsi="Aptos" w:eastAsia="Aptos"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5"/>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B5A1F"/>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3E74D4"/>
    <w:rsid w:val="00423B04"/>
    <w:rsid w:val="004628AE"/>
    <w:rsid w:val="004659EF"/>
    <w:rsid w:val="00473423"/>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E35E8"/>
    <w:rsid w:val="006F2C45"/>
    <w:rsid w:val="006F304E"/>
    <w:rsid w:val="0074611C"/>
    <w:rsid w:val="007750BC"/>
    <w:rsid w:val="007A2ADF"/>
    <w:rsid w:val="007B28E6"/>
    <w:rsid w:val="007E3904"/>
    <w:rsid w:val="0081696D"/>
    <w:rsid w:val="00843904"/>
    <w:rsid w:val="00894A29"/>
    <w:rsid w:val="008A5A0B"/>
    <w:rsid w:val="008B4719"/>
    <w:rsid w:val="008D110D"/>
    <w:rsid w:val="008E007E"/>
    <w:rsid w:val="008E2738"/>
    <w:rsid w:val="008E4F97"/>
    <w:rsid w:val="00940BA3"/>
    <w:rsid w:val="00950D36"/>
    <w:rsid w:val="00956A27"/>
    <w:rsid w:val="00982B04"/>
    <w:rsid w:val="009924F0"/>
    <w:rsid w:val="009962E7"/>
    <w:rsid w:val="009D3F27"/>
    <w:rsid w:val="009D6CE1"/>
    <w:rsid w:val="009E00D2"/>
    <w:rsid w:val="009E36A7"/>
    <w:rsid w:val="009E6BC9"/>
    <w:rsid w:val="00A350C4"/>
    <w:rsid w:val="00A54A0D"/>
    <w:rsid w:val="00AC3458"/>
    <w:rsid w:val="00AD67D5"/>
    <w:rsid w:val="00AD727F"/>
    <w:rsid w:val="00B24723"/>
    <w:rsid w:val="00B24F10"/>
    <w:rsid w:val="00B73C33"/>
    <w:rsid w:val="00B846FB"/>
    <w:rsid w:val="00B84BEF"/>
    <w:rsid w:val="00BA1404"/>
    <w:rsid w:val="00BB6E56"/>
    <w:rsid w:val="00C03FFA"/>
    <w:rsid w:val="00C12245"/>
    <w:rsid w:val="00C21C29"/>
    <w:rsid w:val="00C40C13"/>
    <w:rsid w:val="00C53226"/>
    <w:rsid w:val="00C95F8C"/>
    <w:rsid w:val="00CD18ED"/>
    <w:rsid w:val="00CF2DAA"/>
    <w:rsid w:val="00D66BFB"/>
    <w:rsid w:val="00D9059D"/>
    <w:rsid w:val="00D95195"/>
    <w:rsid w:val="00DA0AAB"/>
    <w:rsid w:val="00DA12B1"/>
    <w:rsid w:val="00DA6656"/>
    <w:rsid w:val="00DD4F70"/>
    <w:rsid w:val="00DE5620"/>
    <w:rsid w:val="00E00C78"/>
    <w:rsid w:val="00E513DD"/>
    <w:rsid w:val="00E82408"/>
    <w:rsid w:val="00ED765C"/>
    <w:rsid w:val="00EF5EE1"/>
    <w:rsid w:val="00EF7B1B"/>
    <w:rsid w:val="00F02DFE"/>
    <w:rsid w:val="00F05AB0"/>
    <w:rsid w:val="00F0760F"/>
    <w:rsid w:val="00F33D13"/>
    <w:rsid w:val="00F47D8B"/>
    <w:rsid w:val="00F50B60"/>
    <w:rsid w:val="00F627D0"/>
    <w:rsid w:val="00F841B6"/>
    <w:rsid w:val="00F92EA1"/>
    <w:rsid w:val="00FE674B"/>
    <w:rsid w:val="01041DE1"/>
    <w:rsid w:val="014B58F1"/>
    <w:rsid w:val="016E658B"/>
    <w:rsid w:val="01840FB9"/>
    <w:rsid w:val="01A574CF"/>
    <w:rsid w:val="01A60C1B"/>
    <w:rsid w:val="01E966BF"/>
    <w:rsid w:val="029B08C6"/>
    <w:rsid w:val="02A424C3"/>
    <w:rsid w:val="02B71025"/>
    <w:rsid w:val="02FA6D08"/>
    <w:rsid w:val="0300491B"/>
    <w:rsid w:val="030E32B0"/>
    <w:rsid w:val="0317097D"/>
    <w:rsid w:val="03190295"/>
    <w:rsid w:val="038A1F16"/>
    <w:rsid w:val="041A101A"/>
    <w:rsid w:val="0457410F"/>
    <w:rsid w:val="04A12BB9"/>
    <w:rsid w:val="04A37BF0"/>
    <w:rsid w:val="04BE53CB"/>
    <w:rsid w:val="04F25C61"/>
    <w:rsid w:val="04F25DBA"/>
    <w:rsid w:val="04FD5053"/>
    <w:rsid w:val="053F6F70"/>
    <w:rsid w:val="054134AD"/>
    <w:rsid w:val="0571089C"/>
    <w:rsid w:val="058844D8"/>
    <w:rsid w:val="05AD7C3D"/>
    <w:rsid w:val="05B81468"/>
    <w:rsid w:val="05B92B80"/>
    <w:rsid w:val="05BB42A5"/>
    <w:rsid w:val="05CC288F"/>
    <w:rsid w:val="05D41B5D"/>
    <w:rsid w:val="05F76482"/>
    <w:rsid w:val="05FB3716"/>
    <w:rsid w:val="061355E6"/>
    <w:rsid w:val="069766D8"/>
    <w:rsid w:val="06EA3869"/>
    <w:rsid w:val="06EB297F"/>
    <w:rsid w:val="06F44776"/>
    <w:rsid w:val="071830B3"/>
    <w:rsid w:val="07232B13"/>
    <w:rsid w:val="072E12A5"/>
    <w:rsid w:val="072E4FA9"/>
    <w:rsid w:val="073F4A62"/>
    <w:rsid w:val="07554650"/>
    <w:rsid w:val="079F7BD5"/>
    <w:rsid w:val="07CC0B7F"/>
    <w:rsid w:val="080B0E60"/>
    <w:rsid w:val="08241B14"/>
    <w:rsid w:val="08346E32"/>
    <w:rsid w:val="084F3982"/>
    <w:rsid w:val="087B7586"/>
    <w:rsid w:val="08BD2F14"/>
    <w:rsid w:val="08C95DA2"/>
    <w:rsid w:val="08D80E0C"/>
    <w:rsid w:val="09085B92"/>
    <w:rsid w:val="093223D0"/>
    <w:rsid w:val="09414F75"/>
    <w:rsid w:val="094470AB"/>
    <w:rsid w:val="0953202D"/>
    <w:rsid w:val="095A6DFD"/>
    <w:rsid w:val="09926330"/>
    <w:rsid w:val="09AD7F7C"/>
    <w:rsid w:val="09B92009"/>
    <w:rsid w:val="09C411E9"/>
    <w:rsid w:val="09D63199"/>
    <w:rsid w:val="09F124DC"/>
    <w:rsid w:val="09F8719E"/>
    <w:rsid w:val="0A025CCA"/>
    <w:rsid w:val="0A0C359D"/>
    <w:rsid w:val="0A103B20"/>
    <w:rsid w:val="0A1469F1"/>
    <w:rsid w:val="0A173D8A"/>
    <w:rsid w:val="0A7F6B62"/>
    <w:rsid w:val="0A83363A"/>
    <w:rsid w:val="0AAC7074"/>
    <w:rsid w:val="0AB622D1"/>
    <w:rsid w:val="0ADE2342"/>
    <w:rsid w:val="0AE21792"/>
    <w:rsid w:val="0AF33383"/>
    <w:rsid w:val="0B054A96"/>
    <w:rsid w:val="0B11078A"/>
    <w:rsid w:val="0B7E67EB"/>
    <w:rsid w:val="0B96175E"/>
    <w:rsid w:val="0BB81E48"/>
    <w:rsid w:val="0BC03E0B"/>
    <w:rsid w:val="0BF550E1"/>
    <w:rsid w:val="0C202296"/>
    <w:rsid w:val="0C415301"/>
    <w:rsid w:val="0C4853AF"/>
    <w:rsid w:val="0C5466CF"/>
    <w:rsid w:val="0C6C1EE0"/>
    <w:rsid w:val="0C7F3E15"/>
    <w:rsid w:val="0CB937B0"/>
    <w:rsid w:val="0CC05689"/>
    <w:rsid w:val="0CD5224C"/>
    <w:rsid w:val="0CE47224"/>
    <w:rsid w:val="0D193EF2"/>
    <w:rsid w:val="0D362C45"/>
    <w:rsid w:val="0D3F328C"/>
    <w:rsid w:val="0D677C89"/>
    <w:rsid w:val="0D711EBE"/>
    <w:rsid w:val="0D716B1A"/>
    <w:rsid w:val="0D771EA7"/>
    <w:rsid w:val="0DA728AC"/>
    <w:rsid w:val="0DAD175B"/>
    <w:rsid w:val="0DE14E46"/>
    <w:rsid w:val="0E3D4FDF"/>
    <w:rsid w:val="0E4A09D7"/>
    <w:rsid w:val="0E56201A"/>
    <w:rsid w:val="0E6E3C34"/>
    <w:rsid w:val="0EAF327B"/>
    <w:rsid w:val="0EE4179B"/>
    <w:rsid w:val="0F1D748A"/>
    <w:rsid w:val="0F2F579A"/>
    <w:rsid w:val="0F4E079B"/>
    <w:rsid w:val="0F782620"/>
    <w:rsid w:val="0F8A7784"/>
    <w:rsid w:val="0FC803F4"/>
    <w:rsid w:val="10090A65"/>
    <w:rsid w:val="108B22CD"/>
    <w:rsid w:val="10AC6F3F"/>
    <w:rsid w:val="10C31C47"/>
    <w:rsid w:val="10C64AE7"/>
    <w:rsid w:val="10CB1C69"/>
    <w:rsid w:val="10F04644"/>
    <w:rsid w:val="110171B2"/>
    <w:rsid w:val="110E0AD2"/>
    <w:rsid w:val="111F30A5"/>
    <w:rsid w:val="11900A86"/>
    <w:rsid w:val="119B1CE5"/>
    <w:rsid w:val="11D44799"/>
    <w:rsid w:val="11E4251C"/>
    <w:rsid w:val="1236016D"/>
    <w:rsid w:val="123900DB"/>
    <w:rsid w:val="123B6254"/>
    <w:rsid w:val="12524466"/>
    <w:rsid w:val="125C1A47"/>
    <w:rsid w:val="12934DEA"/>
    <w:rsid w:val="12A73823"/>
    <w:rsid w:val="12B04029"/>
    <w:rsid w:val="12BD5E5F"/>
    <w:rsid w:val="12DA4242"/>
    <w:rsid w:val="130A48C3"/>
    <w:rsid w:val="132303DD"/>
    <w:rsid w:val="1331496D"/>
    <w:rsid w:val="13392934"/>
    <w:rsid w:val="13583AE1"/>
    <w:rsid w:val="1358580E"/>
    <w:rsid w:val="1369769F"/>
    <w:rsid w:val="136A73BB"/>
    <w:rsid w:val="139327D8"/>
    <w:rsid w:val="13A46671"/>
    <w:rsid w:val="13A84E85"/>
    <w:rsid w:val="13D36FA4"/>
    <w:rsid w:val="141E3F03"/>
    <w:rsid w:val="14256000"/>
    <w:rsid w:val="142A7E3E"/>
    <w:rsid w:val="1466786F"/>
    <w:rsid w:val="14A668A4"/>
    <w:rsid w:val="14A9029F"/>
    <w:rsid w:val="14B83431"/>
    <w:rsid w:val="14E836E8"/>
    <w:rsid w:val="14F142C3"/>
    <w:rsid w:val="150B6FBF"/>
    <w:rsid w:val="152B1104"/>
    <w:rsid w:val="154A66B0"/>
    <w:rsid w:val="158505DC"/>
    <w:rsid w:val="159C7EDD"/>
    <w:rsid w:val="15BE553B"/>
    <w:rsid w:val="15E03E14"/>
    <w:rsid w:val="15E9482E"/>
    <w:rsid w:val="161147C5"/>
    <w:rsid w:val="16327956"/>
    <w:rsid w:val="166A7A3B"/>
    <w:rsid w:val="16725680"/>
    <w:rsid w:val="168B0BBD"/>
    <w:rsid w:val="169F1079"/>
    <w:rsid w:val="16A3322F"/>
    <w:rsid w:val="16C120B7"/>
    <w:rsid w:val="16CD3708"/>
    <w:rsid w:val="16D51B5B"/>
    <w:rsid w:val="172C4672"/>
    <w:rsid w:val="17334283"/>
    <w:rsid w:val="17916AE6"/>
    <w:rsid w:val="17AE49E6"/>
    <w:rsid w:val="17CD5A7B"/>
    <w:rsid w:val="17DA0411"/>
    <w:rsid w:val="17E05E1F"/>
    <w:rsid w:val="18035F6A"/>
    <w:rsid w:val="185C58E1"/>
    <w:rsid w:val="186366A3"/>
    <w:rsid w:val="187A66B9"/>
    <w:rsid w:val="1881324F"/>
    <w:rsid w:val="18A246AF"/>
    <w:rsid w:val="18D4217B"/>
    <w:rsid w:val="18F616BB"/>
    <w:rsid w:val="18F80417"/>
    <w:rsid w:val="18FE1274"/>
    <w:rsid w:val="192F165F"/>
    <w:rsid w:val="195E3B99"/>
    <w:rsid w:val="196E4FB3"/>
    <w:rsid w:val="1A1C0B7B"/>
    <w:rsid w:val="1A40430B"/>
    <w:rsid w:val="1A697C7D"/>
    <w:rsid w:val="1A855FB2"/>
    <w:rsid w:val="1A9A126F"/>
    <w:rsid w:val="1AA4601E"/>
    <w:rsid w:val="1ABF7C53"/>
    <w:rsid w:val="1ADE6206"/>
    <w:rsid w:val="1AE7452F"/>
    <w:rsid w:val="1AF714FA"/>
    <w:rsid w:val="1B073464"/>
    <w:rsid w:val="1B25700C"/>
    <w:rsid w:val="1B5E2B2B"/>
    <w:rsid w:val="1BB213C3"/>
    <w:rsid w:val="1BB22919"/>
    <w:rsid w:val="1C263D41"/>
    <w:rsid w:val="1C6673DB"/>
    <w:rsid w:val="1C6A1BB2"/>
    <w:rsid w:val="1C726F5B"/>
    <w:rsid w:val="1CC529AF"/>
    <w:rsid w:val="1CC914E2"/>
    <w:rsid w:val="1D031FA5"/>
    <w:rsid w:val="1D0D0197"/>
    <w:rsid w:val="1D700D25"/>
    <w:rsid w:val="1DA1677A"/>
    <w:rsid w:val="1DE55E1B"/>
    <w:rsid w:val="1DEA2636"/>
    <w:rsid w:val="1E015BFF"/>
    <w:rsid w:val="1E261FEC"/>
    <w:rsid w:val="1E5D014C"/>
    <w:rsid w:val="1E625159"/>
    <w:rsid w:val="1E64615B"/>
    <w:rsid w:val="1E6C052F"/>
    <w:rsid w:val="1EB31B66"/>
    <w:rsid w:val="1EB529F8"/>
    <w:rsid w:val="1ECA0581"/>
    <w:rsid w:val="1EF17AB3"/>
    <w:rsid w:val="1F1F4D17"/>
    <w:rsid w:val="1F7A08D5"/>
    <w:rsid w:val="1FE63CE8"/>
    <w:rsid w:val="20254C14"/>
    <w:rsid w:val="205E77A8"/>
    <w:rsid w:val="205E7BE3"/>
    <w:rsid w:val="20832C76"/>
    <w:rsid w:val="208A18F1"/>
    <w:rsid w:val="208D63E6"/>
    <w:rsid w:val="20A506BA"/>
    <w:rsid w:val="20F63843"/>
    <w:rsid w:val="20FE18B0"/>
    <w:rsid w:val="21513A3C"/>
    <w:rsid w:val="215A766D"/>
    <w:rsid w:val="21667FDB"/>
    <w:rsid w:val="219C1508"/>
    <w:rsid w:val="21FA5606"/>
    <w:rsid w:val="220A4513"/>
    <w:rsid w:val="226E729F"/>
    <w:rsid w:val="22B32E1B"/>
    <w:rsid w:val="22CD6AE0"/>
    <w:rsid w:val="230B6414"/>
    <w:rsid w:val="23435C66"/>
    <w:rsid w:val="236906A5"/>
    <w:rsid w:val="2375481A"/>
    <w:rsid w:val="23822B30"/>
    <w:rsid w:val="23A745A9"/>
    <w:rsid w:val="23B828A0"/>
    <w:rsid w:val="23E720A4"/>
    <w:rsid w:val="23EE120B"/>
    <w:rsid w:val="2403705B"/>
    <w:rsid w:val="24110B80"/>
    <w:rsid w:val="249D5D77"/>
    <w:rsid w:val="24B445FB"/>
    <w:rsid w:val="24C74F14"/>
    <w:rsid w:val="24D14ADC"/>
    <w:rsid w:val="24D708E2"/>
    <w:rsid w:val="24FB6730"/>
    <w:rsid w:val="251B6F7E"/>
    <w:rsid w:val="251B758B"/>
    <w:rsid w:val="252515BC"/>
    <w:rsid w:val="259F1D5E"/>
    <w:rsid w:val="25F5013E"/>
    <w:rsid w:val="262A1C6D"/>
    <w:rsid w:val="262F627F"/>
    <w:rsid w:val="26315BFD"/>
    <w:rsid w:val="26537397"/>
    <w:rsid w:val="26590269"/>
    <w:rsid w:val="2660154C"/>
    <w:rsid w:val="269A24DC"/>
    <w:rsid w:val="26A276B5"/>
    <w:rsid w:val="26BA68C7"/>
    <w:rsid w:val="26BB1824"/>
    <w:rsid w:val="26D21E09"/>
    <w:rsid w:val="26F77177"/>
    <w:rsid w:val="27037FC4"/>
    <w:rsid w:val="27076EF2"/>
    <w:rsid w:val="2725126B"/>
    <w:rsid w:val="274C2D2B"/>
    <w:rsid w:val="27536A11"/>
    <w:rsid w:val="2796594E"/>
    <w:rsid w:val="27BC024E"/>
    <w:rsid w:val="27BE3E87"/>
    <w:rsid w:val="27C17045"/>
    <w:rsid w:val="27C35275"/>
    <w:rsid w:val="27F66DD4"/>
    <w:rsid w:val="28130904"/>
    <w:rsid w:val="283167B4"/>
    <w:rsid w:val="285078A7"/>
    <w:rsid w:val="28682A73"/>
    <w:rsid w:val="286A0FDD"/>
    <w:rsid w:val="289D577F"/>
    <w:rsid w:val="28E404D9"/>
    <w:rsid w:val="28F4407D"/>
    <w:rsid w:val="291138C7"/>
    <w:rsid w:val="29120E51"/>
    <w:rsid w:val="29733D9F"/>
    <w:rsid w:val="297D6AC1"/>
    <w:rsid w:val="29936B0A"/>
    <w:rsid w:val="29A61468"/>
    <w:rsid w:val="29B4676A"/>
    <w:rsid w:val="29BE37C1"/>
    <w:rsid w:val="2A665688"/>
    <w:rsid w:val="2A7D74CC"/>
    <w:rsid w:val="2A7F4563"/>
    <w:rsid w:val="2A885D9C"/>
    <w:rsid w:val="2AF55E2D"/>
    <w:rsid w:val="2B3F4C1F"/>
    <w:rsid w:val="2B4D1216"/>
    <w:rsid w:val="2B58393A"/>
    <w:rsid w:val="2B8030A5"/>
    <w:rsid w:val="2BC15658"/>
    <w:rsid w:val="2BE06712"/>
    <w:rsid w:val="2BEC75E4"/>
    <w:rsid w:val="2C095760"/>
    <w:rsid w:val="2C6E581C"/>
    <w:rsid w:val="2C7A7AA0"/>
    <w:rsid w:val="2CA21955"/>
    <w:rsid w:val="2CA30589"/>
    <w:rsid w:val="2CBC12EE"/>
    <w:rsid w:val="2D0F7EC8"/>
    <w:rsid w:val="2D146D2C"/>
    <w:rsid w:val="2D155FB3"/>
    <w:rsid w:val="2D314513"/>
    <w:rsid w:val="2D3B7B03"/>
    <w:rsid w:val="2D440581"/>
    <w:rsid w:val="2D470656"/>
    <w:rsid w:val="2D493ADC"/>
    <w:rsid w:val="2D55451C"/>
    <w:rsid w:val="2D5B158F"/>
    <w:rsid w:val="2DF144D1"/>
    <w:rsid w:val="2DFB6036"/>
    <w:rsid w:val="2E3472AB"/>
    <w:rsid w:val="2E3D031C"/>
    <w:rsid w:val="2EA86437"/>
    <w:rsid w:val="2EB103B1"/>
    <w:rsid w:val="2EB35AF1"/>
    <w:rsid w:val="2F0F71E6"/>
    <w:rsid w:val="2F383A5C"/>
    <w:rsid w:val="2F4559EE"/>
    <w:rsid w:val="2F662DFD"/>
    <w:rsid w:val="2F742945"/>
    <w:rsid w:val="2F9D4B14"/>
    <w:rsid w:val="2FBE43F5"/>
    <w:rsid w:val="2FC53C32"/>
    <w:rsid w:val="2FD157C7"/>
    <w:rsid w:val="30090C48"/>
    <w:rsid w:val="300A115E"/>
    <w:rsid w:val="30296BB8"/>
    <w:rsid w:val="309D4655"/>
    <w:rsid w:val="30C026F3"/>
    <w:rsid w:val="314537F4"/>
    <w:rsid w:val="315423FA"/>
    <w:rsid w:val="315B7AEC"/>
    <w:rsid w:val="317503B0"/>
    <w:rsid w:val="31BD0592"/>
    <w:rsid w:val="31D53C4D"/>
    <w:rsid w:val="31F71A11"/>
    <w:rsid w:val="31FE12AB"/>
    <w:rsid w:val="321A185A"/>
    <w:rsid w:val="321B4537"/>
    <w:rsid w:val="32513A45"/>
    <w:rsid w:val="32A31247"/>
    <w:rsid w:val="32B50B2C"/>
    <w:rsid w:val="32C84DFE"/>
    <w:rsid w:val="32CA2ADA"/>
    <w:rsid w:val="3337740D"/>
    <w:rsid w:val="336E7CDB"/>
    <w:rsid w:val="337F1035"/>
    <w:rsid w:val="33805DA1"/>
    <w:rsid w:val="338C56E4"/>
    <w:rsid w:val="33934B2E"/>
    <w:rsid w:val="339441CF"/>
    <w:rsid w:val="33C37075"/>
    <w:rsid w:val="34062C68"/>
    <w:rsid w:val="341061B2"/>
    <w:rsid w:val="341C738A"/>
    <w:rsid w:val="34406B17"/>
    <w:rsid w:val="34555A5C"/>
    <w:rsid w:val="348623B6"/>
    <w:rsid w:val="348F0A80"/>
    <w:rsid w:val="34A26022"/>
    <w:rsid w:val="34B0567F"/>
    <w:rsid w:val="34B443F6"/>
    <w:rsid w:val="34C037CB"/>
    <w:rsid w:val="34E12F4E"/>
    <w:rsid w:val="34EC41DF"/>
    <w:rsid w:val="35040A33"/>
    <w:rsid w:val="351A24AD"/>
    <w:rsid w:val="35273121"/>
    <w:rsid w:val="354E123E"/>
    <w:rsid w:val="354F2AD2"/>
    <w:rsid w:val="35A729BD"/>
    <w:rsid w:val="35C36B07"/>
    <w:rsid w:val="35C60438"/>
    <w:rsid w:val="360D6591"/>
    <w:rsid w:val="361F2C5E"/>
    <w:rsid w:val="363976F7"/>
    <w:rsid w:val="3654080E"/>
    <w:rsid w:val="36681B72"/>
    <w:rsid w:val="366E68DA"/>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AE69D5"/>
    <w:rsid w:val="38FC0060"/>
    <w:rsid w:val="38FC32F5"/>
    <w:rsid w:val="39030A9D"/>
    <w:rsid w:val="390E35E6"/>
    <w:rsid w:val="39113643"/>
    <w:rsid w:val="3946541F"/>
    <w:rsid w:val="396866FD"/>
    <w:rsid w:val="397E03C2"/>
    <w:rsid w:val="39BB3AC3"/>
    <w:rsid w:val="39DF043A"/>
    <w:rsid w:val="39FE32B3"/>
    <w:rsid w:val="3A070DC0"/>
    <w:rsid w:val="3A2065C7"/>
    <w:rsid w:val="3A34378D"/>
    <w:rsid w:val="3A36160B"/>
    <w:rsid w:val="3AEB3C21"/>
    <w:rsid w:val="3AEE2960"/>
    <w:rsid w:val="3AFB6043"/>
    <w:rsid w:val="3B041E40"/>
    <w:rsid w:val="3B191C47"/>
    <w:rsid w:val="3B205806"/>
    <w:rsid w:val="3B295FAA"/>
    <w:rsid w:val="3B5C6A72"/>
    <w:rsid w:val="3B7F2CAA"/>
    <w:rsid w:val="3B8C6D25"/>
    <w:rsid w:val="3C1A13DF"/>
    <w:rsid w:val="3C3A4FEB"/>
    <w:rsid w:val="3C4F0EBB"/>
    <w:rsid w:val="3C635FA0"/>
    <w:rsid w:val="3C8659AE"/>
    <w:rsid w:val="3CA66A58"/>
    <w:rsid w:val="3CBE3C7C"/>
    <w:rsid w:val="3CD165D4"/>
    <w:rsid w:val="3CDA7DA7"/>
    <w:rsid w:val="3CF316DB"/>
    <w:rsid w:val="3D39355A"/>
    <w:rsid w:val="3D3C44DD"/>
    <w:rsid w:val="3D5001A7"/>
    <w:rsid w:val="3D5B3EF0"/>
    <w:rsid w:val="3D5C58DF"/>
    <w:rsid w:val="3D6764E5"/>
    <w:rsid w:val="3D9214B7"/>
    <w:rsid w:val="3D923B3A"/>
    <w:rsid w:val="3DB23DD9"/>
    <w:rsid w:val="3E390C78"/>
    <w:rsid w:val="3E500D27"/>
    <w:rsid w:val="3E573ADE"/>
    <w:rsid w:val="3EA55E90"/>
    <w:rsid w:val="3ECD0998"/>
    <w:rsid w:val="3ED508CA"/>
    <w:rsid w:val="3F1109BC"/>
    <w:rsid w:val="3F1B7587"/>
    <w:rsid w:val="3F4D3D27"/>
    <w:rsid w:val="3F805B16"/>
    <w:rsid w:val="3FA42170"/>
    <w:rsid w:val="3FAF36DB"/>
    <w:rsid w:val="3FB7753B"/>
    <w:rsid w:val="405759DA"/>
    <w:rsid w:val="406A14B3"/>
    <w:rsid w:val="407C15D8"/>
    <w:rsid w:val="409D1B0D"/>
    <w:rsid w:val="40A86BF9"/>
    <w:rsid w:val="40F64D19"/>
    <w:rsid w:val="40F97CA8"/>
    <w:rsid w:val="4108722C"/>
    <w:rsid w:val="41171B69"/>
    <w:rsid w:val="41202191"/>
    <w:rsid w:val="41415E9E"/>
    <w:rsid w:val="41883A8E"/>
    <w:rsid w:val="418A60B4"/>
    <w:rsid w:val="41B370D6"/>
    <w:rsid w:val="42212582"/>
    <w:rsid w:val="423821FE"/>
    <w:rsid w:val="42755843"/>
    <w:rsid w:val="42794CE2"/>
    <w:rsid w:val="428704C4"/>
    <w:rsid w:val="4288654E"/>
    <w:rsid w:val="4298168E"/>
    <w:rsid w:val="42C70708"/>
    <w:rsid w:val="42E0254C"/>
    <w:rsid w:val="42F40D67"/>
    <w:rsid w:val="43066FF8"/>
    <w:rsid w:val="43146FF6"/>
    <w:rsid w:val="433204F8"/>
    <w:rsid w:val="433C3AAA"/>
    <w:rsid w:val="4345322A"/>
    <w:rsid w:val="43600192"/>
    <w:rsid w:val="43964A1C"/>
    <w:rsid w:val="43E22B61"/>
    <w:rsid w:val="44031DB9"/>
    <w:rsid w:val="447943E7"/>
    <w:rsid w:val="44B41FCD"/>
    <w:rsid w:val="44F46625"/>
    <w:rsid w:val="454C191C"/>
    <w:rsid w:val="45861251"/>
    <w:rsid w:val="459911EE"/>
    <w:rsid w:val="4599227F"/>
    <w:rsid w:val="45BE024B"/>
    <w:rsid w:val="45BE2AD4"/>
    <w:rsid w:val="45C2437E"/>
    <w:rsid w:val="45EA2721"/>
    <w:rsid w:val="4606736C"/>
    <w:rsid w:val="46300B95"/>
    <w:rsid w:val="4671152D"/>
    <w:rsid w:val="4699240B"/>
    <w:rsid w:val="46B7014A"/>
    <w:rsid w:val="46C12E93"/>
    <w:rsid w:val="46ED5CA5"/>
    <w:rsid w:val="46FE4C6E"/>
    <w:rsid w:val="475A659D"/>
    <w:rsid w:val="476207DA"/>
    <w:rsid w:val="47944B93"/>
    <w:rsid w:val="47B14EAE"/>
    <w:rsid w:val="47C00B3A"/>
    <w:rsid w:val="47C04462"/>
    <w:rsid w:val="47C96CD1"/>
    <w:rsid w:val="47D84F8A"/>
    <w:rsid w:val="47DB6ABB"/>
    <w:rsid w:val="47F90B25"/>
    <w:rsid w:val="48083448"/>
    <w:rsid w:val="480B5F66"/>
    <w:rsid w:val="4834242D"/>
    <w:rsid w:val="48460696"/>
    <w:rsid w:val="48690DD9"/>
    <w:rsid w:val="486B54EB"/>
    <w:rsid w:val="4887121F"/>
    <w:rsid w:val="48F702B1"/>
    <w:rsid w:val="492910E2"/>
    <w:rsid w:val="492E569F"/>
    <w:rsid w:val="494B446A"/>
    <w:rsid w:val="494E1C27"/>
    <w:rsid w:val="49A36AB0"/>
    <w:rsid w:val="49A97E85"/>
    <w:rsid w:val="49D92DDD"/>
    <w:rsid w:val="49EF5321"/>
    <w:rsid w:val="4A280C46"/>
    <w:rsid w:val="4A347F6C"/>
    <w:rsid w:val="4A444508"/>
    <w:rsid w:val="4A456A14"/>
    <w:rsid w:val="4A66451F"/>
    <w:rsid w:val="4A6D33FB"/>
    <w:rsid w:val="4A9D0D79"/>
    <w:rsid w:val="4A9D45B8"/>
    <w:rsid w:val="4A9F545E"/>
    <w:rsid w:val="4AAB056F"/>
    <w:rsid w:val="4B08573B"/>
    <w:rsid w:val="4B626F00"/>
    <w:rsid w:val="4B917D44"/>
    <w:rsid w:val="4BC53B5B"/>
    <w:rsid w:val="4BE53FE4"/>
    <w:rsid w:val="4C340FD6"/>
    <w:rsid w:val="4C744BB3"/>
    <w:rsid w:val="4C964045"/>
    <w:rsid w:val="4CE2366D"/>
    <w:rsid w:val="4D010671"/>
    <w:rsid w:val="4D316B33"/>
    <w:rsid w:val="4D352FBB"/>
    <w:rsid w:val="4D743D8A"/>
    <w:rsid w:val="4DEF0594"/>
    <w:rsid w:val="4DF70A62"/>
    <w:rsid w:val="4E2452B7"/>
    <w:rsid w:val="4E2E0AE7"/>
    <w:rsid w:val="4E695109"/>
    <w:rsid w:val="4E9C3B92"/>
    <w:rsid w:val="4E9D6524"/>
    <w:rsid w:val="4EAD1AF9"/>
    <w:rsid w:val="4ED23540"/>
    <w:rsid w:val="4EE23C1E"/>
    <w:rsid w:val="4F1913AC"/>
    <w:rsid w:val="4F4F5A65"/>
    <w:rsid w:val="4F6426A9"/>
    <w:rsid w:val="4F7A31F5"/>
    <w:rsid w:val="4FB77179"/>
    <w:rsid w:val="4FB92CDA"/>
    <w:rsid w:val="4FE775A6"/>
    <w:rsid w:val="4FF54231"/>
    <w:rsid w:val="50077447"/>
    <w:rsid w:val="50574C97"/>
    <w:rsid w:val="50623802"/>
    <w:rsid w:val="50652E94"/>
    <w:rsid w:val="506D1404"/>
    <w:rsid w:val="508700F4"/>
    <w:rsid w:val="50A970CD"/>
    <w:rsid w:val="50C72D83"/>
    <w:rsid w:val="50ED2406"/>
    <w:rsid w:val="51163E4F"/>
    <w:rsid w:val="5163596F"/>
    <w:rsid w:val="51642065"/>
    <w:rsid w:val="51895F2D"/>
    <w:rsid w:val="51A0460E"/>
    <w:rsid w:val="51A054E7"/>
    <w:rsid w:val="51A823AB"/>
    <w:rsid w:val="51CC648B"/>
    <w:rsid w:val="51E202B2"/>
    <w:rsid w:val="52030FE6"/>
    <w:rsid w:val="52065DA2"/>
    <w:rsid w:val="522E4D5D"/>
    <w:rsid w:val="524A71B5"/>
    <w:rsid w:val="52642695"/>
    <w:rsid w:val="5279373F"/>
    <w:rsid w:val="528B1069"/>
    <w:rsid w:val="528D5BD8"/>
    <w:rsid w:val="528F0DD4"/>
    <w:rsid w:val="52930D7F"/>
    <w:rsid w:val="5296438C"/>
    <w:rsid w:val="52BE2AC8"/>
    <w:rsid w:val="530F2B4C"/>
    <w:rsid w:val="5314074B"/>
    <w:rsid w:val="53144C5A"/>
    <w:rsid w:val="53AE0CB6"/>
    <w:rsid w:val="53D170F4"/>
    <w:rsid w:val="53D74547"/>
    <w:rsid w:val="544F1C50"/>
    <w:rsid w:val="54606A92"/>
    <w:rsid w:val="54611A81"/>
    <w:rsid w:val="54C55FE7"/>
    <w:rsid w:val="55846FDD"/>
    <w:rsid w:val="55B9745F"/>
    <w:rsid w:val="55CD48C4"/>
    <w:rsid w:val="560C425A"/>
    <w:rsid w:val="562365CA"/>
    <w:rsid w:val="56340430"/>
    <w:rsid w:val="56581D59"/>
    <w:rsid w:val="568502CA"/>
    <w:rsid w:val="56B0773B"/>
    <w:rsid w:val="56C254B7"/>
    <w:rsid w:val="5709588E"/>
    <w:rsid w:val="571760EF"/>
    <w:rsid w:val="57792910"/>
    <w:rsid w:val="577A0DC0"/>
    <w:rsid w:val="5781180D"/>
    <w:rsid w:val="57C77D46"/>
    <w:rsid w:val="57CF4F1B"/>
    <w:rsid w:val="58201757"/>
    <w:rsid w:val="585818C8"/>
    <w:rsid w:val="58602168"/>
    <w:rsid w:val="5860738B"/>
    <w:rsid w:val="58A630CA"/>
    <w:rsid w:val="58AB4E89"/>
    <w:rsid w:val="58AD7356"/>
    <w:rsid w:val="58B5550E"/>
    <w:rsid w:val="58BD5C76"/>
    <w:rsid w:val="58C11261"/>
    <w:rsid w:val="58C34E9B"/>
    <w:rsid w:val="58D20175"/>
    <w:rsid w:val="59327064"/>
    <w:rsid w:val="59340E0B"/>
    <w:rsid w:val="59AD7B0E"/>
    <w:rsid w:val="59D55070"/>
    <w:rsid w:val="59DA18AC"/>
    <w:rsid w:val="59FD6E5D"/>
    <w:rsid w:val="5A186745"/>
    <w:rsid w:val="5A2F5AF5"/>
    <w:rsid w:val="5A637B38"/>
    <w:rsid w:val="5A764899"/>
    <w:rsid w:val="5A8D1386"/>
    <w:rsid w:val="5A93303B"/>
    <w:rsid w:val="5ABB6C3C"/>
    <w:rsid w:val="5AFF7905"/>
    <w:rsid w:val="5B1836AE"/>
    <w:rsid w:val="5B492C91"/>
    <w:rsid w:val="5B4F5269"/>
    <w:rsid w:val="5B6B15AA"/>
    <w:rsid w:val="5B987BF7"/>
    <w:rsid w:val="5BAF6495"/>
    <w:rsid w:val="5BF25754"/>
    <w:rsid w:val="5C1E13B0"/>
    <w:rsid w:val="5C3D48C2"/>
    <w:rsid w:val="5C662A50"/>
    <w:rsid w:val="5C923EB9"/>
    <w:rsid w:val="5CC73DD6"/>
    <w:rsid w:val="5CEA2522"/>
    <w:rsid w:val="5CF2777D"/>
    <w:rsid w:val="5D2708E3"/>
    <w:rsid w:val="5D6346DD"/>
    <w:rsid w:val="5D664D05"/>
    <w:rsid w:val="5D7C584C"/>
    <w:rsid w:val="5D7F0635"/>
    <w:rsid w:val="5D7F610B"/>
    <w:rsid w:val="5D894E7F"/>
    <w:rsid w:val="5D8D080D"/>
    <w:rsid w:val="5DBF6493"/>
    <w:rsid w:val="5DC12605"/>
    <w:rsid w:val="5E1A1D8F"/>
    <w:rsid w:val="5E3A6AA2"/>
    <w:rsid w:val="5E3E4C2D"/>
    <w:rsid w:val="5E5867E1"/>
    <w:rsid w:val="5E674F7E"/>
    <w:rsid w:val="5E874CE8"/>
    <w:rsid w:val="5EB00E5C"/>
    <w:rsid w:val="5ED35331"/>
    <w:rsid w:val="5ED85791"/>
    <w:rsid w:val="5EE37831"/>
    <w:rsid w:val="5EEB7859"/>
    <w:rsid w:val="5EF41897"/>
    <w:rsid w:val="5F016EEC"/>
    <w:rsid w:val="5F0A3D5F"/>
    <w:rsid w:val="5F213F68"/>
    <w:rsid w:val="5F2F6349"/>
    <w:rsid w:val="5F600D4E"/>
    <w:rsid w:val="5F956DDF"/>
    <w:rsid w:val="5F991667"/>
    <w:rsid w:val="5FA416F1"/>
    <w:rsid w:val="5FD93954"/>
    <w:rsid w:val="5FDC55D3"/>
    <w:rsid w:val="5FF469EE"/>
    <w:rsid w:val="5FFB0094"/>
    <w:rsid w:val="60160416"/>
    <w:rsid w:val="60305CC7"/>
    <w:rsid w:val="604A1238"/>
    <w:rsid w:val="60A62DBA"/>
    <w:rsid w:val="60C03CCF"/>
    <w:rsid w:val="60D42D03"/>
    <w:rsid w:val="60E62C9D"/>
    <w:rsid w:val="611B62E0"/>
    <w:rsid w:val="61620C52"/>
    <w:rsid w:val="61993979"/>
    <w:rsid w:val="61A06374"/>
    <w:rsid w:val="61AE780E"/>
    <w:rsid w:val="622470A5"/>
    <w:rsid w:val="625D25EA"/>
    <w:rsid w:val="62625CF2"/>
    <w:rsid w:val="62857C4E"/>
    <w:rsid w:val="6286607D"/>
    <w:rsid w:val="62A62781"/>
    <w:rsid w:val="62E05FC6"/>
    <w:rsid w:val="62FD3864"/>
    <w:rsid w:val="63464F7D"/>
    <w:rsid w:val="634B0772"/>
    <w:rsid w:val="636E7A2E"/>
    <w:rsid w:val="63815A2A"/>
    <w:rsid w:val="63846F09"/>
    <w:rsid w:val="63BF7E8E"/>
    <w:rsid w:val="63C01CBD"/>
    <w:rsid w:val="63D87C59"/>
    <w:rsid w:val="643F3D04"/>
    <w:rsid w:val="644204E6"/>
    <w:rsid w:val="64635DFB"/>
    <w:rsid w:val="64683A23"/>
    <w:rsid w:val="64AF3910"/>
    <w:rsid w:val="64BC2C9E"/>
    <w:rsid w:val="64C626B7"/>
    <w:rsid w:val="658066C4"/>
    <w:rsid w:val="65912A7B"/>
    <w:rsid w:val="660428AE"/>
    <w:rsid w:val="660D1E09"/>
    <w:rsid w:val="660E4242"/>
    <w:rsid w:val="662519F4"/>
    <w:rsid w:val="66354951"/>
    <w:rsid w:val="6656086D"/>
    <w:rsid w:val="666A2C09"/>
    <w:rsid w:val="6679092A"/>
    <w:rsid w:val="669315AD"/>
    <w:rsid w:val="66BA2385"/>
    <w:rsid w:val="66C11F13"/>
    <w:rsid w:val="66DB09CF"/>
    <w:rsid w:val="66E96680"/>
    <w:rsid w:val="66F227BF"/>
    <w:rsid w:val="67237A0F"/>
    <w:rsid w:val="67487CFE"/>
    <w:rsid w:val="677038E2"/>
    <w:rsid w:val="677777A9"/>
    <w:rsid w:val="67B43783"/>
    <w:rsid w:val="67B92A72"/>
    <w:rsid w:val="67D547C2"/>
    <w:rsid w:val="68233F9E"/>
    <w:rsid w:val="689340A3"/>
    <w:rsid w:val="68A12E72"/>
    <w:rsid w:val="68D355FA"/>
    <w:rsid w:val="68DC73EC"/>
    <w:rsid w:val="69054B5C"/>
    <w:rsid w:val="69293200"/>
    <w:rsid w:val="694347AF"/>
    <w:rsid w:val="694F06EB"/>
    <w:rsid w:val="6963607F"/>
    <w:rsid w:val="696403F8"/>
    <w:rsid w:val="69766916"/>
    <w:rsid w:val="698F77F4"/>
    <w:rsid w:val="69B23B9D"/>
    <w:rsid w:val="69E82867"/>
    <w:rsid w:val="6A086F70"/>
    <w:rsid w:val="6A540655"/>
    <w:rsid w:val="6A5B510D"/>
    <w:rsid w:val="6AA159CB"/>
    <w:rsid w:val="6AA26939"/>
    <w:rsid w:val="6ACB1DCC"/>
    <w:rsid w:val="6AD50437"/>
    <w:rsid w:val="6AE4041A"/>
    <w:rsid w:val="6AEE57CB"/>
    <w:rsid w:val="6B3030A0"/>
    <w:rsid w:val="6B6C69C0"/>
    <w:rsid w:val="6B707214"/>
    <w:rsid w:val="6B9C69D2"/>
    <w:rsid w:val="6BB104FC"/>
    <w:rsid w:val="6BC0416F"/>
    <w:rsid w:val="6BC75657"/>
    <w:rsid w:val="6BD126F0"/>
    <w:rsid w:val="6BE1773A"/>
    <w:rsid w:val="6BE35659"/>
    <w:rsid w:val="6C2B66F7"/>
    <w:rsid w:val="6C3D74C2"/>
    <w:rsid w:val="6C56491E"/>
    <w:rsid w:val="6C5B64F3"/>
    <w:rsid w:val="6C967D2D"/>
    <w:rsid w:val="6CB84F3A"/>
    <w:rsid w:val="6D05726A"/>
    <w:rsid w:val="6D576BCE"/>
    <w:rsid w:val="6D673555"/>
    <w:rsid w:val="6D717C1E"/>
    <w:rsid w:val="6D92611A"/>
    <w:rsid w:val="6D981B81"/>
    <w:rsid w:val="6D994274"/>
    <w:rsid w:val="6DB90857"/>
    <w:rsid w:val="6DC267F1"/>
    <w:rsid w:val="6E032FC6"/>
    <w:rsid w:val="6E083615"/>
    <w:rsid w:val="6E0D26B4"/>
    <w:rsid w:val="6E17642C"/>
    <w:rsid w:val="6E185B0A"/>
    <w:rsid w:val="6E2E1D28"/>
    <w:rsid w:val="6E360FB8"/>
    <w:rsid w:val="6E44084F"/>
    <w:rsid w:val="6E4F3DA5"/>
    <w:rsid w:val="6E6F0BB4"/>
    <w:rsid w:val="6E6F1D57"/>
    <w:rsid w:val="6E7A62E4"/>
    <w:rsid w:val="6EA713DC"/>
    <w:rsid w:val="6EB25B0B"/>
    <w:rsid w:val="6EB80BA0"/>
    <w:rsid w:val="6ED37D90"/>
    <w:rsid w:val="6F00046B"/>
    <w:rsid w:val="6F065AB6"/>
    <w:rsid w:val="6F3364F9"/>
    <w:rsid w:val="6F4D0F66"/>
    <w:rsid w:val="6F505503"/>
    <w:rsid w:val="6F57424B"/>
    <w:rsid w:val="6F612830"/>
    <w:rsid w:val="6F9E5543"/>
    <w:rsid w:val="6FD10B10"/>
    <w:rsid w:val="6FE61F22"/>
    <w:rsid w:val="6FF81874"/>
    <w:rsid w:val="6FFD00DA"/>
    <w:rsid w:val="70352925"/>
    <w:rsid w:val="70505871"/>
    <w:rsid w:val="7059136B"/>
    <w:rsid w:val="706B4405"/>
    <w:rsid w:val="70801B07"/>
    <w:rsid w:val="709A5CAE"/>
    <w:rsid w:val="709A7A5C"/>
    <w:rsid w:val="70A1406F"/>
    <w:rsid w:val="715B3C2A"/>
    <w:rsid w:val="71803C89"/>
    <w:rsid w:val="71852790"/>
    <w:rsid w:val="71894E49"/>
    <w:rsid w:val="71994E64"/>
    <w:rsid w:val="71A73403"/>
    <w:rsid w:val="71EA7695"/>
    <w:rsid w:val="71EE7FB9"/>
    <w:rsid w:val="72536FDC"/>
    <w:rsid w:val="727D75DF"/>
    <w:rsid w:val="72B574C1"/>
    <w:rsid w:val="72D36E77"/>
    <w:rsid w:val="72FB66FD"/>
    <w:rsid w:val="732872C5"/>
    <w:rsid w:val="7360086A"/>
    <w:rsid w:val="739A0DC0"/>
    <w:rsid w:val="73A25B4E"/>
    <w:rsid w:val="73A54FAC"/>
    <w:rsid w:val="73AD70AD"/>
    <w:rsid w:val="73B920B2"/>
    <w:rsid w:val="73D96E71"/>
    <w:rsid w:val="74085669"/>
    <w:rsid w:val="742C1313"/>
    <w:rsid w:val="74412921"/>
    <w:rsid w:val="744A3DC0"/>
    <w:rsid w:val="745A7D2D"/>
    <w:rsid w:val="7475710D"/>
    <w:rsid w:val="747621BD"/>
    <w:rsid w:val="74E27F48"/>
    <w:rsid w:val="75086A21"/>
    <w:rsid w:val="750B356A"/>
    <w:rsid w:val="750C4DDC"/>
    <w:rsid w:val="7510569F"/>
    <w:rsid w:val="756950CA"/>
    <w:rsid w:val="75922EAF"/>
    <w:rsid w:val="75AD28A1"/>
    <w:rsid w:val="75C224B9"/>
    <w:rsid w:val="75CD2682"/>
    <w:rsid w:val="76013E56"/>
    <w:rsid w:val="760A7D9D"/>
    <w:rsid w:val="763E51CC"/>
    <w:rsid w:val="766026E6"/>
    <w:rsid w:val="76B770A6"/>
    <w:rsid w:val="76CE7275"/>
    <w:rsid w:val="76E4362B"/>
    <w:rsid w:val="770A1659"/>
    <w:rsid w:val="770A5210"/>
    <w:rsid w:val="7712242B"/>
    <w:rsid w:val="771F60E4"/>
    <w:rsid w:val="773A7A8E"/>
    <w:rsid w:val="77B91A42"/>
    <w:rsid w:val="77C5780E"/>
    <w:rsid w:val="77F04406"/>
    <w:rsid w:val="782F327E"/>
    <w:rsid w:val="78397A32"/>
    <w:rsid w:val="78A06277"/>
    <w:rsid w:val="78BC2338"/>
    <w:rsid w:val="78C64F8E"/>
    <w:rsid w:val="78C778AE"/>
    <w:rsid w:val="791A1EB8"/>
    <w:rsid w:val="796E2FE8"/>
    <w:rsid w:val="798E4E1E"/>
    <w:rsid w:val="79A37A59"/>
    <w:rsid w:val="79C61A14"/>
    <w:rsid w:val="79EE5B89"/>
    <w:rsid w:val="79F05A1B"/>
    <w:rsid w:val="7A020CA3"/>
    <w:rsid w:val="7A067805"/>
    <w:rsid w:val="7AA408FA"/>
    <w:rsid w:val="7B123707"/>
    <w:rsid w:val="7B307625"/>
    <w:rsid w:val="7B347CEC"/>
    <w:rsid w:val="7B576B4E"/>
    <w:rsid w:val="7B605B7E"/>
    <w:rsid w:val="7B6D63A7"/>
    <w:rsid w:val="7B761608"/>
    <w:rsid w:val="7BB57E40"/>
    <w:rsid w:val="7C105077"/>
    <w:rsid w:val="7C416F95"/>
    <w:rsid w:val="7C4E5B9F"/>
    <w:rsid w:val="7C580760"/>
    <w:rsid w:val="7C7001B6"/>
    <w:rsid w:val="7C8B3404"/>
    <w:rsid w:val="7C9C47E0"/>
    <w:rsid w:val="7C9E070C"/>
    <w:rsid w:val="7CBB152F"/>
    <w:rsid w:val="7D2C343C"/>
    <w:rsid w:val="7D4C3183"/>
    <w:rsid w:val="7D9314F6"/>
    <w:rsid w:val="7DA625EB"/>
    <w:rsid w:val="7DBE5AB2"/>
    <w:rsid w:val="7DDB441F"/>
    <w:rsid w:val="7E313E60"/>
    <w:rsid w:val="7E4B1AB3"/>
    <w:rsid w:val="7E58216F"/>
    <w:rsid w:val="7E70415D"/>
    <w:rsid w:val="7E7F1745"/>
    <w:rsid w:val="7E886BD8"/>
    <w:rsid w:val="7E922F1E"/>
    <w:rsid w:val="7E9C1A45"/>
    <w:rsid w:val="7ECA3C03"/>
    <w:rsid w:val="7EEF7176"/>
    <w:rsid w:val="7F5D7752"/>
    <w:rsid w:val="7F786D2D"/>
    <w:rsid w:val="7F7A668F"/>
    <w:rsid w:val="7F7C1BAA"/>
    <w:rsid w:val="7F852863"/>
    <w:rsid w:val="7F91228D"/>
    <w:rsid w:val="7F980D98"/>
    <w:rsid w:val="7FBA4CF9"/>
    <w:rsid w:val="7FBF2944"/>
    <w:rsid w:val="7FCA0CDB"/>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1"/>
    <w:next w:val="1"/>
    <w:link w:val="30"/>
    <w:qFormat/>
    <w:uiPriority w:val="9"/>
    <w:pPr>
      <w:tabs>
        <w:tab w:val="left" w:pos="720"/>
      </w:tabs>
      <w:outlineLvl w:val="3"/>
    </w:pPr>
    <w:rPr>
      <w:i/>
    </w:rPr>
  </w:style>
  <w:style w:type="paragraph" w:styleId="6">
    <w:name w:val="heading 5"/>
    <w:basedOn w:val="5"/>
    <w:next w:val="1"/>
    <w:qFormat/>
    <w:uiPriority w:val="0"/>
    <w:pPr>
      <w:tabs>
        <w:tab w:val="left" w:pos="432"/>
        <w:tab w:val="left" w:pos="1002"/>
      </w:tabs>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List 2"/>
    <w:basedOn w:val="1"/>
    <w:semiHidden/>
    <w:unhideWhenUsed/>
    <w:qFormat/>
    <w:uiPriority w:val="99"/>
    <w:pPr>
      <w:ind w:left="100" w:leftChars="200" w:hanging="200" w:hangingChars="200"/>
      <w:contextualSpacing/>
    </w:pPr>
  </w:style>
  <w:style w:type="paragraph" w:styleId="11">
    <w:name w:val="footer"/>
    <w:basedOn w:val="1"/>
    <w:link w:val="21"/>
    <w:autoRedefine/>
    <w:unhideWhenUsed/>
    <w:qFormat/>
    <w:uiPriority w:val="99"/>
    <w:pPr>
      <w:tabs>
        <w:tab w:val="center" w:pos="4153"/>
        <w:tab w:val="right" w:pos="8306"/>
      </w:tabs>
      <w:snapToGrid w:val="0"/>
      <w:jc w:val="left"/>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qFormat/>
    <w:uiPriority w:val="0"/>
    <w:rPr>
      <w:sz w:val="21"/>
      <w:szCs w:val="21"/>
    </w:rPr>
  </w:style>
  <w:style w:type="character" w:customStyle="1" w:styleId="20">
    <w:name w:val="页眉 字符"/>
    <w:basedOn w:val="17"/>
    <w:link w:val="12"/>
    <w:autoRedefine/>
    <w:qFormat/>
    <w:uiPriority w:val="99"/>
    <w:rPr>
      <w:sz w:val="18"/>
      <w:szCs w:val="18"/>
    </w:rPr>
  </w:style>
  <w:style w:type="character" w:customStyle="1" w:styleId="21">
    <w:name w:val="页脚 字符"/>
    <w:basedOn w:val="17"/>
    <w:link w:val="11"/>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3"/>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0"/>
    <w:autoRedefine/>
    <w:qFormat/>
    <w:uiPriority w:val="0"/>
    <w:pPr>
      <w:ind w:left="851" w:hanging="284"/>
    </w:pPr>
  </w:style>
  <w:style w:type="paragraph" w:customStyle="1" w:styleId="37">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TAN"/>
    <w:basedOn w:val="39"/>
    <w:autoRedefine/>
    <w:qFormat/>
    <w:uiPriority w:val="0"/>
    <w:pPr>
      <w:ind w:left="851" w:hanging="851"/>
    </w:pPr>
    <w:rPr>
      <w:rFonts w:eastAsia="Malgun Gothic" w:cs="Arial"/>
      <w:szCs w:val="18"/>
    </w:rPr>
  </w:style>
  <w:style w:type="paragraph" w:customStyle="1" w:styleId="39">
    <w:name w:val="TAL"/>
    <w:basedOn w:val="1"/>
    <w:autoRedefine/>
    <w:qFormat/>
    <w:uiPriority w:val="0"/>
    <w:pPr>
      <w:keepNext/>
      <w:keepLines/>
    </w:pPr>
    <w:rPr>
      <w:rFonts w:ascii="Arial" w:hAnsi="Arial" w:eastAsia="MS Mincho"/>
      <w:sz w:val="18"/>
      <w:szCs w:val="20"/>
    </w:rPr>
  </w:style>
  <w:style w:type="paragraph" w:customStyle="1" w:styleId="40">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2">
    <w:name w:val="EX"/>
    <w:basedOn w:val="1"/>
    <w:qFormat/>
    <w:uiPriority w:val="0"/>
    <w:pPr>
      <w:keepLines/>
      <w:spacing w:after="180"/>
      <w:ind w:left="1702" w:hanging="1418"/>
    </w:pPr>
    <w:rPr>
      <w:rFonts w:eastAsia="宋体"/>
      <w:szCs w:val="20"/>
      <w:lang w:val="en-GB"/>
    </w:rPr>
  </w:style>
  <w:style w:type="character" w:customStyle="1" w:styleId="43">
    <w:name w:val="Code"/>
    <w:qFormat/>
    <w:uiPriority w:val="1"/>
    <w:rPr>
      <w:rFonts w:ascii="Arial" w:hAnsi="Arial"/>
      <w:i/>
      <w:sz w:val="18"/>
      <w:shd w:val="clear" w:color="auto" w:fill="auto"/>
    </w:rPr>
  </w:style>
  <w:style w:type="paragraph" w:customStyle="1" w:styleId="44">
    <w:name w:val="TAH"/>
    <w:basedOn w:val="45"/>
    <w:qFormat/>
    <w:uiPriority w:val="0"/>
    <w:rPr>
      <w:b/>
    </w:rPr>
  </w:style>
  <w:style w:type="paragraph" w:customStyle="1" w:styleId="45">
    <w:name w:val="TAC"/>
    <w:basedOn w:val="39"/>
    <w:qFormat/>
    <w:uiPriority w:val="0"/>
    <w:pPr>
      <w:jc w:val="center"/>
    </w:pPr>
    <w:rPr>
      <w:rFonts w:eastAsia="等线"/>
    </w:rPr>
  </w:style>
  <w:style w:type="paragraph" w:customStyle="1" w:styleId="46">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7">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1811</Words>
  <Characters>9268</Characters>
  <Lines>79</Lines>
  <Paragraphs>22</Paragraphs>
  <TotalTime>3</TotalTime>
  <ScaleCrop>false</ScaleCrop>
  <LinksUpToDate>false</LinksUpToDate>
  <CharactersWithSpaces>11066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2025-02-07T03:15:16Z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AAEA569AAF0745A2BE1FB739AB1FF39F_13</vt:lpwstr>
  </property>
  <property fmtid="{D5CDD505-2E9C-101B-9397-08002B2CF9AE}" pid="4" name="KSOTemplateDocerSaveRecord">
    <vt:lpwstr>eyJoZGlkIjoiMzEwNTM5NzYwMDRjMzkwZTVkZjY2ODkwMGIxNGU0OTUiLCJ1c2VySWQiOiI1MDQ0ODU3MTMifQ==</vt:lpwstr>
  </property>
</Properties>
</file>